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0" w:beforeLines="0" w:after="0" w:afterLines="0" w:line="288" w:lineRule="auto"/>
        <w:jc w:val="right"/>
        <w:rPr>
          <w:rFonts w:hint="eastAsia" w:ascii="宋体" w:hAnsi="宋体" w:eastAsia="宋体" w:cs="宋体"/>
          <w:color w:val="505050"/>
          <w:sz w:val="21"/>
          <w:szCs w:val="21"/>
          <w:lang w:val="en-US" w:eastAsia="zh-CN"/>
        </w:rPr>
      </w:pPr>
      <w:bookmarkStart w:id="0" w:name="_Toc353455782"/>
      <w:bookmarkStart w:id="1" w:name="_Toc353088990"/>
      <w:r>
        <w:rPr>
          <w:rFonts w:hint="eastAsia" w:ascii="宋体" w:hAnsi="宋体" w:cs="宋体"/>
          <w:color w:val="505050"/>
          <w:sz w:val="21"/>
          <w:szCs w:val="21"/>
          <w:lang w:eastAsia="zh-CN"/>
        </w:rPr>
        <w:t>广药大</w:t>
      </w:r>
      <w:r>
        <w:rPr>
          <w:rFonts w:hint="eastAsia" w:ascii="宋体" w:hAnsi="宋体" w:eastAsia="宋体" w:cs="宋体"/>
          <w:color w:val="505050"/>
          <w:sz w:val="21"/>
          <w:szCs w:val="21"/>
          <w:lang w:eastAsia="zh-CN"/>
        </w:rPr>
        <w:t>〔</w:t>
      </w:r>
      <w:r>
        <w:rPr>
          <w:rFonts w:hint="eastAsia" w:ascii="宋体" w:hAnsi="宋体" w:cs="宋体"/>
          <w:color w:val="505050"/>
          <w:sz w:val="21"/>
          <w:szCs w:val="21"/>
          <w:lang w:val="en-US" w:eastAsia="zh-CN"/>
        </w:rPr>
        <w:t>2018</w:t>
      </w:r>
      <w:r>
        <w:rPr>
          <w:rFonts w:hint="eastAsia" w:ascii="宋体" w:hAnsi="宋体" w:eastAsia="宋体" w:cs="宋体"/>
          <w:color w:val="505050"/>
          <w:sz w:val="21"/>
          <w:szCs w:val="21"/>
          <w:lang w:eastAsia="zh-CN"/>
        </w:rPr>
        <w:t>〕</w:t>
      </w:r>
      <w:r>
        <w:rPr>
          <w:rFonts w:hint="eastAsia" w:ascii="宋体" w:hAnsi="宋体" w:cs="宋体"/>
          <w:color w:val="505050"/>
          <w:sz w:val="21"/>
          <w:szCs w:val="21"/>
          <w:lang w:val="en-US" w:eastAsia="zh-CN"/>
        </w:rPr>
        <w:t>6号</w:t>
      </w:r>
    </w:p>
    <w:p>
      <w:pPr>
        <w:pStyle w:val="2"/>
        <w:spacing w:before="0" w:beforeLines="0" w:after="0" w:afterLines="0" w:line="288" w:lineRule="auto"/>
        <w:jc w:val="center"/>
        <w:rPr>
          <w:rFonts w:hint="eastAsia" w:ascii="仿宋" w:hAnsi="仿宋" w:eastAsia="仿宋" w:cs="仿宋"/>
          <w:b w:val="0"/>
          <w:bCs w:val="0"/>
          <w:sz w:val="30"/>
          <w:szCs w:val="30"/>
        </w:rPr>
      </w:pPr>
      <w:r>
        <w:rPr>
          <w:rFonts w:ascii="宋体" w:hAnsi="宋体" w:eastAsia="宋体" w:cs="宋体"/>
          <w:color w:val="505050"/>
          <w:sz w:val="44"/>
          <w:szCs w:val="44"/>
        </w:rPr>
        <w:t>关于印发《</w:t>
      </w:r>
      <w:r>
        <w:rPr>
          <w:rFonts w:hint="eastAsia" w:ascii="宋体" w:hAnsi="宋体" w:eastAsia="宋体" w:cs="宋体"/>
          <w:color w:val="505050"/>
          <w:sz w:val="44"/>
          <w:szCs w:val="44"/>
        </w:rPr>
        <w:t>广东药</w:t>
      </w:r>
      <w:r>
        <w:rPr>
          <w:rFonts w:hint="eastAsia" w:ascii="宋体" w:hAnsi="宋体" w:eastAsia="宋体" w:cs="宋体"/>
          <w:color w:val="505050"/>
          <w:sz w:val="44"/>
          <w:szCs w:val="44"/>
          <w:lang w:eastAsia="zh-CN"/>
        </w:rPr>
        <w:t>科大学</w:t>
      </w:r>
      <w:r>
        <w:rPr>
          <w:rFonts w:hint="eastAsia" w:ascii="宋体" w:hAnsi="宋体" w:eastAsia="宋体" w:cs="宋体"/>
          <w:color w:val="505050"/>
          <w:sz w:val="44"/>
          <w:szCs w:val="44"/>
        </w:rPr>
        <w:t>研究生指导教师管理</w:t>
      </w:r>
      <w:r>
        <w:rPr>
          <w:rFonts w:hint="eastAsia" w:ascii="宋体" w:hAnsi="宋体" w:eastAsia="宋体" w:cs="宋体"/>
          <w:color w:val="505050"/>
          <w:sz w:val="44"/>
          <w:szCs w:val="44"/>
          <w:lang w:eastAsia="zh-CN"/>
        </w:rPr>
        <w:t>办法</w:t>
      </w:r>
      <w:r>
        <w:rPr>
          <w:rFonts w:ascii="宋体" w:hAnsi="宋体" w:eastAsia="宋体" w:cs="宋体"/>
          <w:color w:val="505050"/>
          <w:sz w:val="44"/>
          <w:szCs w:val="44"/>
        </w:rPr>
        <w:t>》的通知</w:t>
      </w:r>
    </w:p>
    <w:p>
      <w:pPr>
        <w:pStyle w:val="2"/>
        <w:keepNext/>
        <w:keepLines/>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eastAsia" w:eastAsia="仿宋_GB2312"/>
          <w:b w:val="0"/>
          <w:bCs w:val="0"/>
          <w:kern w:val="2"/>
          <w:sz w:val="32"/>
          <w:szCs w:val="32"/>
          <w:lang w:val="en-US" w:eastAsia="zh-CN" w:bidi="ar-SA"/>
        </w:rPr>
      </w:pPr>
      <w:r>
        <w:rPr>
          <w:rFonts w:hint="eastAsia" w:eastAsia="仿宋_GB2312"/>
          <w:b w:val="0"/>
          <w:bCs w:val="0"/>
          <w:kern w:val="2"/>
          <w:sz w:val="32"/>
          <w:szCs w:val="32"/>
          <w:lang w:val="en-US" w:eastAsia="zh-CN" w:bidi="ar-SA"/>
        </w:rPr>
        <w:t xml:space="preserve">各校区,附属第一医院,各二级学院,部、馆、处、室，直属单位：  </w:t>
      </w:r>
    </w:p>
    <w:p>
      <w:pPr>
        <w:pStyle w:val="2"/>
        <w:keepNext/>
        <w:keepLines/>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left"/>
        <w:textAlignment w:val="auto"/>
        <w:outlineLvl w:val="0"/>
        <w:rPr>
          <w:rFonts w:hint="eastAsia" w:eastAsia="仿宋_GB2312"/>
          <w:b w:val="0"/>
          <w:bCs w:val="0"/>
          <w:kern w:val="2"/>
          <w:sz w:val="32"/>
          <w:szCs w:val="32"/>
          <w:lang w:val="en-US" w:eastAsia="zh-CN" w:bidi="ar-SA"/>
        </w:rPr>
      </w:pPr>
      <w:r>
        <w:rPr>
          <w:rFonts w:hint="eastAsia" w:eastAsia="仿宋_GB2312"/>
          <w:b w:val="0"/>
          <w:bCs w:val="0"/>
          <w:kern w:val="2"/>
          <w:sz w:val="32"/>
          <w:szCs w:val="32"/>
          <w:lang w:val="en-US" w:eastAsia="zh-CN" w:bidi="ar-SA"/>
        </w:rPr>
        <w:t xml:space="preserve">   《广东药科大学研究生指导教师管理办法》经广东药科大学第十届学位评定委员会第二十三次会议讨论通过，现印发给你们，请遵照执行。 </w:t>
      </w:r>
    </w:p>
    <w:p>
      <w:pPr>
        <w:rPr>
          <w:rFonts w:hint="eastAsia" w:eastAsia="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360"/>
        <w:jc w:val="center"/>
        <w:textAlignment w:val="auto"/>
        <w:outlineLvl w:val="9"/>
        <w:rPr>
          <w:rFonts w:hint="eastAsia" w:eastAsia="仿宋_GB2312"/>
          <w:b w:val="0"/>
          <w:bCs w:val="0"/>
          <w:kern w:val="2"/>
          <w:sz w:val="32"/>
          <w:szCs w:val="32"/>
          <w:lang w:val="en-US" w:eastAsia="zh-CN" w:bidi="ar-SA"/>
        </w:rPr>
      </w:pPr>
      <w:r>
        <w:rPr>
          <w:rFonts w:hint="eastAsia" w:ascii="仿宋" w:hAnsi="仿宋" w:eastAsia="仿宋" w:cs="仿宋"/>
          <w:kern w:val="0"/>
          <w:sz w:val="24"/>
          <w:szCs w:val="24"/>
          <w:lang w:val="en-US" w:eastAsia="zh-CN"/>
        </w:rPr>
        <w:t xml:space="preserve">                                                   </w:t>
      </w:r>
      <w:r>
        <w:rPr>
          <w:rFonts w:hint="eastAsia" w:eastAsia="仿宋_GB2312"/>
          <w:b w:val="0"/>
          <w:bCs w:val="0"/>
          <w:kern w:val="2"/>
          <w:sz w:val="32"/>
          <w:szCs w:val="32"/>
          <w:lang w:val="en-US" w:eastAsia="zh-CN" w:bidi="ar-SA"/>
        </w:rPr>
        <w:t xml:space="preserve"> 广东药科大学</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720" w:firstLineChars="225"/>
        <w:jc w:val="both"/>
        <w:textAlignment w:val="auto"/>
        <w:outlineLvl w:val="9"/>
        <w:rPr>
          <w:rFonts w:hint="eastAsia" w:eastAsia="仿宋_GB2312"/>
          <w:b w:val="0"/>
          <w:bCs w:val="0"/>
          <w:kern w:val="2"/>
          <w:sz w:val="32"/>
          <w:szCs w:val="32"/>
          <w:lang w:val="en-US" w:eastAsia="zh-CN" w:bidi="ar-SA"/>
        </w:rPr>
      </w:pPr>
      <w:r>
        <w:rPr>
          <w:rFonts w:hint="eastAsia" w:eastAsia="仿宋_GB2312"/>
          <w:b w:val="0"/>
          <w:bCs w:val="0"/>
          <w:kern w:val="2"/>
          <w:sz w:val="32"/>
          <w:szCs w:val="32"/>
          <w:lang w:val="en-US" w:eastAsia="zh-CN" w:bidi="ar-SA"/>
        </w:rPr>
        <w:t xml:space="preserve">                                 2018年1月18  日</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pStyle w:val="2"/>
        <w:spacing w:before="0" w:beforeLines="0" w:after="0" w:afterLines="0" w:line="288" w:lineRule="auto"/>
        <w:jc w:val="center"/>
        <w:rPr>
          <w:rFonts w:hint="eastAsia"/>
          <w:bCs w:val="0"/>
          <w:sz w:val="30"/>
          <w:szCs w:val="30"/>
        </w:rPr>
      </w:pPr>
    </w:p>
    <w:p>
      <w:pPr>
        <w:pStyle w:val="2"/>
        <w:spacing w:before="0" w:beforeLines="0" w:after="0" w:afterLines="0" w:line="288" w:lineRule="auto"/>
        <w:jc w:val="center"/>
        <w:rPr>
          <w:rFonts w:hint="eastAsia" w:ascii="黑体" w:hAnsi="黑体" w:eastAsia="黑体" w:cs="黑体"/>
          <w:bCs w:val="0"/>
          <w:sz w:val="44"/>
          <w:szCs w:val="44"/>
          <w:lang w:eastAsia="zh-CN"/>
        </w:rPr>
      </w:pPr>
      <w:r>
        <w:rPr>
          <w:rFonts w:hint="eastAsia" w:ascii="黑体" w:hAnsi="黑体" w:eastAsia="黑体" w:cs="黑体"/>
          <w:bCs w:val="0"/>
          <w:sz w:val="44"/>
          <w:szCs w:val="44"/>
        </w:rPr>
        <w:t>广</w:t>
      </w:r>
      <w:r>
        <w:rPr>
          <w:rFonts w:hint="eastAsia" w:ascii="黑体" w:hAnsi="黑体" w:eastAsia="黑体" w:cs="黑体"/>
          <w:bCs w:val="0"/>
          <w:color w:val="auto"/>
          <w:sz w:val="44"/>
          <w:szCs w:val="44"/>
        </w:rPr>
        <w:t>东药</w:t>
      </w:r>
      <w:r>
        <w:rPr>
          <w:rFonts w:hint="eastAsia" w:ascii="黑体" w:hAnsi="黑体" w:eastAsia="黑体" w:cs="黑体"/>
          <w:bCs w:val="0"/>
          <w:strike w:val="0"/>
          <w:dstrike w:val="0"/>
          <w:color w:val="auto"/>
          <w:sz w:val="44"/>
          <w:szCs w:val="44"/>
          <w:lang w:eastAsia="zh-CN"/>
        </w:rPr>
        <w:t>科大学</w:t>
      </w:r>
      <w:r>
        <w:rPr>
          <w:rFonts w:hint="eastAsia" w:ascii="黑体" w:hAnsi="黑体" w:eastAsia="黑体" w:cs="黑体"/>
          <w:bCs w:val="0"/>
          <w:color w:val="auto"/>
          <w:sz w:val="44"/>
          <w:szCs w:val="44"/>
        </w:rPr>
        <w:t>研究生指</w:t>
      </w:r>
      <w:r>
        <w:rPr>
          <w:rFonts w:hint="eastAsia" w:ascii="黑体" w:hAnsi="黑体" w:eastAsia="黑体" w:cs="黑体"/>
          <w:bCs w:val="0"/>
          <w:sz w:val="44"/>
          <w:szCs w:val="44"/>
        </w:rPr>
        <w:t>导教师管理</w:t>
      </w:r>
      <w:r>
        <w:rPr>
          <w:rFonts w:hint="eastAsia" w:ascii="黑体" w:hAnsi="黑体" w:eastAsia="黑体" w:cs="黑体"/>
          <w:bCs w:val="0"/>
          <w:sz w:val="44"/>
          <w:szCs w:val="44"/>
          <w:lang w:eastAsia="zh-CN"/>
        </w:rPr>
        <w:t>办法</w:t>
      </w:r>
    </w:p>
    <w:bookmarkEnd w:id="0"/>
    <w:bookmarkEnd w:id="1"/>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540" w:firstLineChars="225"/>
        <w:jc w:val="center"/>
        <w:textAlignment w:val="auto"/>
        <w:outlineLvl w:val="9"/>
        <w:rPr>
          <w:rFonts w:hint="eastAsia" w:ascii="宋体" w:hAnsi="宋体"/>
          <w:b/>
          <w:bCs/>
          <w:sz w:val="24"/>
          <w:szCs w:val="24"/>
        </w:rPr>
      </w:pPr>
    </w:p>
    <w:p>
      <w:pPr>
        <w:snapToGrid w:val="0"/>
        <w:spacing w:line="570" w:lineRule="exact"/>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 则</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第一条 为适应我校硕士研究生教育发展需要，加强硕士研究生指导教师（以下简称研究生导师）队伍建设，规范研究生导师的选聘和管理工作，明确导师责任，维护导师权益，充分发挥研究生导师在研究生培养中的主导地位，保证研究生培养质量，促进我校研究生教育事业的发展，根据国务院学位委员会和教育部的相关文件精神，结合我校具体情况，特制定本办法。</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第二条 研究生导师是根据研究生教育需要而设置的指导、培养研究生的工作岗位。凡要招收、培养研究生，须首先取得研究生招生资格。</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第三条 凡取得研究生招生资格并有招收、培养研究生的教师均为研究生导师。</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第四条 研究生导师是实施研究生教育和培养工作的主体，对研究生的教育水平和培养质量负有直接责任。研究生导师必须高度重视并且认真履行自己的职责，完成研究生指导工作。</w:t>
      </w:r>
    </w:p>
    <w:p>
      <w:pPr>
        <w:snapToGrid w:val="0"/>
        <w:spacing w:line="570" w:lineRule="exact"/>
        <w:jc w:val="center"/>
        <w:rPr>
          <w:rFonts w:hint="eastAsia" w:ascii="黑体" w:hAnsi="黑体" w:eastAsia="黑体" w:cs="黑体"/>
          <w:b w:val="0"/>
          <w:bCs w:val="0"/>
          <w:sz w:val="32"/>
          <w:szCs w:val="32"/>
          <w:lang w:val="en-US" w:eastAsia="zh-CN"/>
        </w:rPr>
      </w:pPr>
    </w:p>
    <w:p>
      <w:pPr>
        <w:snapToGrid w:val="0"/>
        <w:spacing w:line="570" w:lineRule="exact"/>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导师职责</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第五条 导师是研究生培养的第一责任人，负有对研究生进行学科前沿引导、科研方法指导和学术规范教导的责任。</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 xml:space="preserve">第六条 认真执行国家学位与研究生教育的有关方针、政策，严格执行学校有关研究生教育培养工作的规章制度，关心、支持学校的学位与研究生教育工作，积极为学校研究生教育事业发展献计献策。 </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 xml:space="preserve">第七条 在研究生学院的统一组织下，参与研究生招生过程中的入学考试命题、阅卷、复试和录取等有关工作。 </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第八条 参与制定或修订本专业的研究生培养方案，负责指导研究生制定个人培养计划，并指导督促实施。</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 xml:space="preserve">第九条 对研究生实施全程指导，了解研究生学位课程学习情况，指导研究生的教学实践、社会实践或临床实践，指导研究生的学位论文工作（包括查阅文献、开题报告、研究实践、中期检查、审阅论文、指导答辩等）。 </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 xml:space="preserve">第十条 积极承担研究生课程教学任务，为研究生开设学术讲座。 </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第十一条 积极参与学科建设、科学研究和学术交流活动，为研究生营造良好的学术氛围。积极争取科学研究项目及经费，为培养研究生创造好的研究条件。</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 xml:space="preserve">第十二条 注意发挥研究生导师指导小组的集体作用，加强导师之间的交流与沟通，共同促进研究生培养质量的提高。 </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 xml:space="preserve">第十三条 协同有关部门做好研究生毕业鉴定和就业等各项工作。 </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第十四条 积极探索研究生教育规律，总结研究生教育经验，参与研究生教育改革，对研究生教育培养的各方面积极提出意见和建议 。</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576" w:leftChars="0" w:right="0" w:rightChars="0"/>
        <w:jc w:val="both"/>
        <w:rPr>
          <w:rFonts w:hint="eastAsia" w:eastAsia="仿宋_GB2312"/>
          <w:b w:val="0"/>
          <w:bCs w:val="0"/>
          <w:sz w:val="32"/>
          <w:szCs w:val="32"/>
          <w:lang w:val="en-US" w:eastAsia="zh-CN"/>
        </w:rPr>
      </w:pPr>
    </w:p>
    <w:p>
      <w:pPr>
        <w:snapToGrid w:val="0"/>
        <w:spacing w:line="570" w:lineRule="exact"/>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研究生招生资格的评定及认定</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第十五条 研究生招生资格评定条件</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（一） 基本条件</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1.  热爱研究生教育事业，熟悉国家有关研究生教育的政策法规，教书育人，为人师表，具有高尚的科学道德、严谨的治学态度，良好的善于团结协作精神，且上年度学校年度考核成绩必须是合格及以上。</w:t>
      </w:r>
    </w:p>
    <w:p>
      <w:pPr>
        <w:snapToGrid w:val="0"/>
        <w:spacing w:line="570" w:lineRule="exact"/>
        <w:ind w:firstLine="640" w:firstLineChars="20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2. 能认真履行导师职责，按照研究生培养方案要求，对研究生的学习、思想、管理等方面认真负责。</w:t>
      </w:r>
    </w:p>
    <w:p>
      <w:pPr>
        <w:snapToGrid w:val="0"/>
        <w:spacing w:line="570" w:lineRule="exact"/>
        <w:ind w:firstLine="640" w:firstLineChars="20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3. 具有副教授或相当专业技术职务及以上任职资格，或具有中级专业技术职务任职资格且具有博士学位并主持国家自然科学基金</w:t>
      </w:r>
      <w:r>
        <w:rPr>
          <w:rFonts w:hint="eastAsia" w:eastAsia="仿宋_GB2312"/>
          <w:b w:val="0"/>
          <w:bCs w:val="0"/>
          <w:strike w:val="0"/>
          <w:dstrike w:val="0"/>
          <w:color w:val="auto"/>
          <w:sz w:val="32"/>
          <w:szCs w:val="32"/>
          <w:lang w:val="en-US" w:eastAsia="zh-CN"/>
        </w:rPr>
        <w:t>（青年科学基金除外）</w:t>
      </w:r>
      <w:r>
        <w:rPr>
          <w:rFonts w:hint="eastAsia" w:eastAsia="仿宋_GB2312"/>
          <w:b w:val="0"/>
          <w:bCs w:val="0"/>
          <w:color w:val="auto"/>
          <w:sz w:val="32"/>
          <w:szCs w:val="32"/>
          <w:lang w:val="en-US" w:eastAsia="zh-CN"/>
        </w:rPr>
        <w:t>项目，学术造诣较深，学术水平较高，有较丰富的科研或临床工作经验，熟悉本学科的前沿领域及发展趋势。</w:t>
      </w:r>
    </w:p>
    <w:p>
      <w:pPr>
        <w:snapToGrid w:val="0"/>
        <w:spacing w:line="570" w:lineRule="exact"/>
        <w:ind w:firstLine="640" w:firstLineChars="20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4. 有较丰富的教学经验或参与指导研究生的经历，至少能承担一门研究生主干课程的教学工作。</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color w:val="auto"/>
          <w:sz w:val="32"/>
          <w:szCs w:val="32"/>
          <w:lang w:val="en-US" w:eastAsia="zh-CN"/>
        </w:rPr>
        <w:t>5. 有明确且较稳定的学科研究方向。申请学术学位研究生招生资格者，近三年以第一作者或通讯作者署名（但不包括共同第一作者）且第一完成单位必须为广东药</w:t>
      </w:r>
      <w:r>
        <w:rPr>
          <w:rFonts w:hint="eastAsia" w:eastAsia="仿宋_GB2312"/>
          <w:b w:val="0"/>
          <w:bCs w:val="0"/>
          <w:strike w:val="0"/>
          <w:dstrike w:val="0"/>
          <w:color w:val="auto"/>
          <w:sz w:val="32"/>
          <w:szCs w:val="32"/>
          <w:lang w:val="en-US" w:eastAsia="zh-CN"/>
        </w:rPr>
        <w:t>科大学或</w:t>
      </w:r>
      <w:r>
        <w:rPr>
          <w:rFonts w:hint="eastAsia" w:ascii="仿宋" w:hAnsi="仿宋" w:eastAsia="仿宋" w:cs="仿宋"/>
          <w:b w:val="0"/>
          <w:bCs w:val="0"/>
          <w:i w:val="0"/>
          <w:snapToGrid/>
          <w:color w:val="auto"/>
          <w:sz w:val="32"/>
          <w:szCs w:val="32"/>
          <w:u w:val="none" w:color="auto"/>
          <w:lang w:val="en-US" w:eastAsia="zh-CN"/>
        </w:rPr>
        <w:t>广东药科大学直属附属医院</w:t>
      </w:r>
      <w:r>
        <w:rPr>
          <w:rFonts w:hint="eastAsia" w:eastAsia="仿宋_GB2312"/>
          <w:b w:val="0"/>
          <w:bCs w:val="0"/>
          <w:color w:val="auto"/>
          <w:sz w:val="32"/>
          <w:szCs w:val="32"/>
          <w:lang w:val="en-US" w:eastAsia="zh-CN"/>
        </w:rPr>
        <w:t>，在中文核心期刊（北大）及以上刊物上公开发表专业学术论文不少于3篇(发表的论文被三大检索收录的每篇可折</w:t>
      </w:r>
      <w:r>
        <w:rPr>
          <w:rFonts w:hint="eastAsia" w:eastAsia="仿宋_GB2312"/>
          <w:b w:val="0"/>
          <w:bCs w:val="0"/>
          <w:color w:val="auto"/>
          <w:sz w:val="32"/>
          <w:szCs w:val="32"/>
          <w:u w:val="none"/>
          <w:lang w:val="en-US" w:eastAsia="zh-CN"/>
        </w:rPr>
        <w:t>合2篇核心期刊；或已授权发明专利1项可折合2篇核心期刊；广东药科大学学报发表的各类基金项目论文视为核心，但仅限于1篇)；申请专业学位研究生招生</w:t>
      </w:r>
      <w:r>
        <w:rPr>
          <w:rFonts w:hint="eastAsia" w:eastAsia="仿宋_GB2312"/>
          <w:b w:val="0"/>
          <w:bCs w:val="0"/>
          <w:sz w:val="32"/>
          <w:szCs w:val="32"/>
          <w:u w:val="none"/>
          <w:lang w:val="en-US" w:eastAsia="zh-CN"/>
        </w:rPr>
        <w:t>资格者，要有较强的应用研究能力</w:t>
      </w:r>
      <w:r>
        <w:rPr>
          <w:rFonts w:hint="eastAsia" w:eastAsia="仿宋_GB2312"/>
          <w:b w:val="0"/>
          <w:bCs w:val="0"/>
          <w:sz w:val="32"/>
          <w:szCs w:val="32"/>
          <w:lang w:val="en-US" w:eastAsia="zh-CN"/>
        </w:rPr>
        <w:t>和丰富的实践经验，有与企业合作的经历。</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6. 至少能运用一门外语较熟练地阅读和翻译外文专业文献，并能指导研究生的专业外语学习。</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7. 身体健康，能担负起实际指导研究生的责任。</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8. 年龄原则上退休前能完整培养一届学生。对个别接近退休年龄，退休前无法完成一届研究生的培养，但有主持国家自然科学基金在研项目，且研究生培养经验丰富、培养质量高的老教师，可适当放宽招生资格年龄限制为：国家自然科学基金在研项目结题前可完成一届研究生的培养。</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（二） 业务条件</w:t>
      </w:r>
    </w:p>
    <w:p>
      <w:pPr>
        <w:snapToGrid w:val="0"/>
        <w:spacing w:line="570" w:lineRule="exact"/>
        <w:ind w:firstLine="640" w:firstLineChars="200"/>
        <w:rPr>
          <w:rFonts w:hint="eastAsia" w:eastAsia="仿宋_GB2312"/>
          <w:b w:val="0"/>
          <w:bCs w:val="0"/>
          <w:color w:val="auto"/>
          <w:sz w:val="32"/>
          <w:szCs w:val="32"/>
          <w:lang w:val="en-US" w:eastAsia="zh-CN"/>
        </w:rPr>
      </w:pPr>
      <w:r>
        <w:rPr>
          <w:rFonts w:hint="eastAsia" w:eastAsia="仿宋_GB2312"/>
          <w:b w:val="0"/>
          <w:bCs w:val="0"/>
          <w:sz w:val="32"/>
          <w:szCs w:val="32"/>
          <w:lang w:val="en-US" w:eastAsia="zh-CN"/>
        </w:rPr>
        <w:t>1. 学</w:t>
      </w:r>
      <w:r>
        <w:rPr>
          <w:rFonts w:hint="eastAsia" w:eastAsia="仿宋_GB2312"/>
          <w:b w:val="0"/>
          <w:bCs w:val="0"/>
          <w:color w:val="auto"/>
          <w:sz w:val="32"/>
          <w:szCs w:val="32"/>
          <w:lang w:val="en-US" w:eastAsia="zh-CN"/>
        </w:rPr>
        <w:t>术学位研究生招生资格</w:t>
      </w:r>
    </w:p>
    <w:p>
      <w:pPr>
        <w:snapToGrid w:val="0"/>
        <w:spacing w:line="570" w:lineRule="exact"/>
        <w:ind w:firstLine="640" w:firstLineChars="200"/>
        <w:rPr>
          <w:rFonts w:hint="eastAsia" w:ascii="仿宋_GB2312" w:hAnsi="华文楷体" w:eastAsia="仿宋_GB2312"/>
          <w:b w:val="0"/>
          <w:bCs w:val="0"/>
          <w:sz w:val="28"/>
          <w:szCs w:val="28"/>
          <w:lang w:val="en-US" w:eastAsia="zh-CN"/>
        </w:rPr>
      </w:pPr>
      <w:r>
        <w:rPr>
          <w:rFonts w:hint="eastAsia" w:eastAsia="仿宋_GB2312"/>
          <w:b w:val="0"/>
          <w:bCs w:val="0"/>
          <w:color w:val="auto"/>
          <w:sz w:val="32"/>
          <w:szCs w:val="32"/>
          <w:lang w:val="en-US" w:eastAsia="zh-CN"/>
        </w:rPr>
        <w:t>（1）理、工、医药类学科：近三年以第一负责人承担厅（局）级及以上在研项目、或作为主要参加者参与国家级在研项目（排名前3），且本人近三年年均到账</w:t>
      </w:r>
      <w:r>
        <w:rPr>
          <w:rFonts w:hint="eastAsia" w:eastAsia="仿宋_GB2312"/>
          <w:b w:val="0"/>
          <w:bCs w:val="0"/>
          <w:strike w:val="0"/>
          <w:dstrike w:val="0"/>
          <w:color w:val="auto"/>
          <w:sz w:val="32"/>
          <w:szCs w:val="32"/>
          <w:lang w:val="en-US" w:eastAsia="zh-CN"/>
        </w:rPr>
        <w:t>纵</w:t>
      </w:r>
      <w:r>
        <w:rPr>
          <w:rFonts w:hint="eastAsia" w:eastAsia="仿宋_GB2312"/>
          <w:b w:val="0"/>
          <w:bCs w:val="0"/>
          <w:color w:val="auto"/>
          <w:sz w:val="32"/>
          <w:szCs w:val="32"/>
          <w:lang w:val="en-US" w:eastAsia="zh-CN"/>
        </w:rPr>
        <w:t>向科研经费（但不含团队项目经费，如重点学科、工程中心、重点实验室等专项经费以及各种配套经费，以财务到账为准，下同）不</w:t>
      </w:r>
      <w:r>
        <w:rPr>
          <w:rFonts w:hint="eastAsia" w:eastAsia="仿宋_GB2312"/>
          <w:b w:val="0"/>
          <w:bCs w:val="0"/>
          <w:color w:val="auto"/>
          <w:sz w:val="32"/>
          <w:szCs w:val="32"/>
          <w:u w:val="none"/>
          <w:lang w:val="en-US" w:eastAsia="zh-CN"/>
        </w:rPr>
        <w:t>少于5万元。</w:t>
      </w:r>
    </w:p>
    <w:p>
      <w:pPr>
        <w:snapToGrid w:val="0"/>
        <w:spacing w:line="570" w:lineRule="exact"/>
        <w:ind w:firstLine="640" w:firstLineChars="200"/>
        <w:rPr>
          <w:rFonts w:hint="eastAsia" w:eastAsia="仿宋_GB2312"/>
          <w:b w:val="0"/>
          <w:bCs w:val="0"/>
          <w:color w:val="auto"/>
          <w:sz w:val="32"/>
          <w:szCs w:val="32"/>
          <w:u w:val="none" w:color="auto"/>
          <w:lang w:val="en-US" w:eastAsia="zh-CN"/>
        </w:rPr>
      </w:pPr>
      <w:r>
        <w:rPr>
          <w:rFonts w:hint="eastAsia" w:eastAsia="仿宋_GB2312"/>
          <w:b w:val="0"/>
          <w:bCs w:val="0"/>
          <w:color w:val="auto"/>
          <w:sz w:val="32"/>
          <w:szCs w:val="32"/>
          <w:lang w:val="en-US" w:eastAsia="zh-CN"/>
        </w:rPr>
        <w:t>（2）经、管、文、法类学科（含社会与管理药学、药物经济学）：近三年以第一负责人承担厅（局）级及以上在研项目、或作为主要参加者参与国家级及以上在研项目（排名前3），或近三年有主持纵向项目经验且有主持正式立项的在研横向项目，本人近三年年均到账纵向科研经费不少于1.5万元</w:t>
      </w:r>
      <w:r>
        <w:rPr>
          <w:rFonts w:hint="eastAsia" w:eastAsia="仿宋_GB2312"/>
          <w:b w:val="0"/>
          <w:bCs w:val="0"/>
          <w:color w:val="auto"/>
          <w:sz w:val="32"/>
          <w:szCs w:val="32"/>
          <w:u w:val="none" w:color="auto"/>
          <w:lang w:val="en-US" w:eastAsia="zh-CN"/>
        </w:rPr>
        <w:t>。</w:t>
      </w:r>
    </w:p>
    <w:p>
      <w:pPr>
        <w:numPr>
          <w:ilvl w:val="0"/>
          <w:numId w:val="1"/>
        </w:numPr>
        <w:snapToGrid w:val="0"/>
        <w:spacing w:line="570" w:lineRule="exact"/>
        <w:ind w:firstLine="640"/>
        <w:rPr>
          <w:rFonts w:hint="eastAsia" w:eastAsia="仿宋_GB2312"/>
          <w:b w:val="0"/>
          <w:bCs w:val="0"/>
          <w:color w:val="auto"/>
          <w:sz w:val="32"/>
          <w:szCs w:val="32"/>
          <w:lang w:val="en-US" w:eastAsia="zh-CN"/>
        </w:rPr>
      </w:pPr>
      <w:r>
        <w:rPr>
          <w:rFonts w:hint="eastAsia" w:eastAsia="仿宋_GB2312"/>
          <w:b w:val="0"/>
          <w:bCs w:val="0"/>
          <w:color w:val="auto"/>
          <w:sz w:val="32"/>
          <w:szCs w:val="32"/>
          <w:u w:val="none" w:color="auto"/>
          <w:lang w:val="en-US" w:eastAsia="zh-CN"/>
        </w:rPr>
        <w:t>若申请人在JCR分区表（中国科学院文献情报中</w:t>
      </w:r>
      <w:r>
        <w:rPr>
          <w:rFonts w:hint="eastAsia" w:eastAsia="仿宋_GB2312"/>
          <w:b w:val="0"/>
          <w:bCs w:val="0"/>
          <w:color w:val="auto"/>
          <w:sz w:val="32"/>
          <w:szCs w:val="32"/>
          <w:lang w:val="en-US" w:eastAsia="zh-CN"/>
        </w:rPr>
        <w:t>心发布的各学科SCI期刊分区表）</w:t>
      </w:r>
      <w:r>
        <w:rPr>
          <w:rFonts w:hint="eastAsia" w:eastAsia="仿宋_GB2312"/>
          <w:b w:val="0"/>
          <w:bCs w:val="0"/>
          <w:color w:val="auto"/>
          <w:sz w:val="32"/>
          <w:szCs w:val="32"/>
          <w:u w:val="none"/>
          <w:lang w:val="en-US" w:eastAsia="zh-CN"/>
        </w:rPr>
        <w:t>1</w:t>
      </w:r>
      <w:r>
        <w:rPr>
          <w:rFonts w:hint="eastAsia" w:eastAsia="仿宋_GB2312"/>
          <w:b w:val="0"/>
          <w:bCs w:val="0"/>
          <w:color w:val="auto"/>
          <w:sz w:val="32"/>
          <w:szCs w:val="32"/>
          <w:lang w:val="en-US" w:eastAsia="zh-CN"/>
        </w:rPr>
        <w:t>区及以上期刊发表以第一作者或通讯作者署名（但不包括共同第一作者）且第一完成单位必须为广东药</w:t>
      </w:r>
      <w:r>
        <w:rPr>
          <w:rFonts w:hint="eastAsia" w:eastAsia="仿宋_GB2312"/>
          <w:b w:val="0"/>
          <w:bCs w:val="0"/>
          <w:strike w:val="0"/>
          <w:dstrike w:val="0"/>
          <w:color w:val="auto"/>
          <w:sz w:val="32"/>
          <w:szCs w:val="32"/>
          <w:lang w:val="en-US" w:eastAsia="zh-CN"/>
        </w:rPr>
        <w:t>科大学或</w:t>
      </w:r>
      <w:r>
        <w:rPr>
          <w:rFonts w:hint="eastAsia" w:ascii="仿宋" w:hAnsi="仿宋" w:eastAsia="仿宋" w:cs="仿宋"/>
          <w:b w:val="0"/>
          <w:bCs w:val="0"/>
          <w:i w:val="0"/>
          <w:snapToGrid/>
          <w:color w:val="auto"/>
          <w:sz w:val="32"/>
          <w:szCs w:val="32"/>
          <w:u w:val="none" w:color="auto"/>
          <w:lang w:val="en-US" w:eastAsia="zh-CN"/>
        </w:rPr>
        <w:t>广东药科大学直属附属医院</w:t>
      </w:r>
      <w:r>
        <w:rPr>
          <w:rFonts w:hint="eastAsia" w:eastAsia="仿宋_GB2312"/>
          <w:b w:val="0"/>
          <w:bCs w:val="0"/>
          <w:color w:val="auto"/>
          <w:sz w:val="32"/>
          <w:szCs w:val="32"/>
          <w:lang w:val="en-US" w:eastAsia="zh-CN"/>
        </w:rPr>
        <w:t>的学术论文1篇或以上，则本人科研经费按上述申请类别各条件的标准减半计算。同一篇文章只能适用于1位申请人。</w:t>
      </w:r>
    </w:p>
    <w:p>
      <w:pPr>
        <w:numPr>
          <w:ilvl w:val="0"/>
          <w:numId w:val="2"/>
        </w:numPr>
        <w:snapToGrid w:val="0"/>
        <w:spacing w:line="570" w:lineRule="exact"/>
        <w:ind w:firstLine="640" w:firstLineChars="20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专业学位研究生招生资格</w:t>
      </w:r>
    </w:p>
    <w:p>
      <w:pPr>
        <w:numPr>
          <w:ilvl w:val="0"/>
          <w:numId w:val="0"/>
        </w:numPr>
        <w:snapToGrid w:val="0"/>
        <w:spacing w:line="570" w:lineRule="exact"/>
        <w:ind w:firstLine="64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（1）工程：近三年以第一负责人承担地市级（含）以上在研项目（含政府项目），或主持正式立项的在研横向项目，且本人近三年年均到账纵横向科研经费不少于10万。</w:t>
      </w:r>
    </w:p>
    <w:p>
      <w:pPr>
        <w:snapToGrid w:val="0"/>
        <w:spacing w:line="570" w:lineRule="exact"/>
        <w:ind w:firstLine="640" w:firstLineChars="200"/>
        <w:rPr>
          <w:rFonts w:hint="eastAsia" w:ascii="仿宋_GB2312" w:hAnsi="华文楷体" w:eastAsia="仿宋_GB2312"/>
          <w:b w:val="0"/>
          <w:bCs w:val="0"/>
          <w:color w:val="auto"/>
          <w:sz w:val="28"/>
          <w:szCs w:val="28"/>
          <w:lang w:val="en-US" w:eastAsia="zh-CN"/>
        </w:rPr>
      </w:pPr>
      <w:r>
        <w:rPr>
          <w:rFonts w:hint="eastAsia" w:eastAsia="仿宋_GB2312"/>
          <w:b w:val="0"/>
          <w:bCs w:val="0"/>
          <w:color w:val="auto"/>
          <w:sz w:val="32"/>
          <w:szCs w:val="32"/>
          <w:lang w:val="en-US" w:eastAsia="zh-CN"/>
        </w:rPr>
        <w:t>（2）药学、中药学、公共卫生、临床医学：近三年以第一负责人承担地市级（含）以上在研项目（含政府项目），或主持正式立项的在研横向项目，且本人近三年年均到账纵横向科研经</w:t>
      </w:r>
      <w:r>
        <w:rPr>
          <w:rFonts w:hint="eastAsia" w:eastAsia="仿宋_GB2312"/>
          <w:b w:val="0"/>
          <w:bCs w:val="0"/>
          <w:color w:val="auto"/>
          <w:sz w:val="32"/>
          <w:szCs w:val="32"/>
          <w:u w:val="none"/>
          <w:lang w:val="en-US" w:eastAsia="zh-CN"/>
        </w:rPr>
        <w:t>费不少于3万元。</w:t>
      </w:r>
    </w:p>
    <w:p>
      <w:pPr>
        <w:snapToGrid w:val="0"/>
        <w:spacing w:line="570" w:lineRule="exact"/>
        <w:ind w:firstLine="640" w:firstLineChars="200"/>
        <w:rPr>
          <w:rFonts w:hint="eastAsia" w:eastAsia="仿宋_GB2312"/>
          <w:b w:val="0"/>
          <w:bCs w:val="0"/>
          <w:color w:val="auto"/>
          <w:sz w:val="32"/>
          <w:szCs w:val="32"/>
          <w:u w:val="none"/>
          <w:lang w:val="en-US" w:eastAsia="zh-CN"/>
        </w:rPr>
      </w:pPr>
      <w:r>
        <w:rPr>
          <w:rFonts w:hint="eastAsia" w:eastAsia="仿宋_GB2312"/>
          <w:b w:val="0"/>
          <w:bCs w:val="0"/>
          <w:color w:val="auto"/>
          <w:sz w:val="32"/>
          <w:szCs w:val="32"/>
          <w:lang w:val="en-US" w:eastAsia="zh-CN"/>
        </w:rPr>
        <w:t>（3）护理：近三年以第一负责人承担地市级（含）以上在研项目（含政府项</w:t>
      </w:r>
      <w:r>
        <w:rPr>
          <w:rFonts w:hint="eastAsia" w:eastAsia="仿宋_GB2312"/>
          <w:b w:val="0"/>
          <w:bCs w:val="0"/>
          <w:color w:val="auto"/>
          <w:sz w:val="32"/>
          <w:szCs w:val="32"/>
          <w:u w:val="none"/>
          <w:lang w:val="en-US" w:eastAsia="zh-CN"/>
        </w:rPr>
        <w:t>目），或主持正式立项的在研横向项目，且本人近三年年均到账纵横向科研经费不少于2万。</w:t>
      </w:r>
    </w:p>
    <w:p>
      <w:pPr>
        <w:snapToGrid w:val="0"/>
        <w:spacing w:line="570" w:lineRule="exact"/>
        <w:ind w:firstLine="640" w:firstLineChars="200"/>
        <w:rPr>
          <w:rFonts w:hint="eastAsia" w:eastAsia="仿宋_GB2312"/>
          <w:b w:val="0"/>
          <w:bCs w:val="0"/>
          <w:color w:val="auto"/>
          <w:sz w:val="32"/>
          <w:szCs w:val="32"/>
          <w:u w:val="none"/>
          <w:lang w:val="en-US" w:eastAsia="zh-CN"/>
        </w:rPr>
      </w:pPr>
      <w:r>
        <w:rPr>
          <w:rFonts w:hint="eastAsia" w:eastAsia="仿宋_GB2312"/>
          <w:b w:val="0"/>
          <w:bCs w:val="0"/>
          <w:color w:val="auto"/>
          <w:sz w:val="32"/>
          <w:szCs w:val="32"/>
          <w:u w:val="none"/>
          <w:lang w:val="en-US" w:eastAsia="zh-CN"/>
        </w:rPr>
        <w:t>（4）管理类：近三年以第一负责人承担地市级（含）以上在研项目（含政府项目），或主持正式立项的在研横向项目，且本人近三年年均到账纵横向科研经费不少于1.5万。</w:t>
      </w:r>
    </w:p>
    <w:p>
      <w:pPr>
        <w:numPr>
          <w:ilvl w:val="0"/>
          <w:numId w:val="0"/>
        </w:numPr>
        <w:snapToGrid w:val="0"/>
        <w:spacing w:line="570" w:lineRule="exact"/>
        <w:ind w:firstLine="640" w:firstLineChars="200"/>
        <w:rPr>
          <w:rFonts w:hint="eastAsia" w:ascii="仿宋_GB2312" w:hAnsi="仿宋_GB2312" w:eastAsia="仿宋_GB2312"/>
          <w:b w:val="0"/>
          <w:bCs w:val="0"/>
          <w:snapToGrid/>
          <w:sz w:val="32"/>
          <w:szCs w:val="32"/>
          <w:u w:val="none"/>
          <w:shd w:val="clear" w:color="auto" w:fill="FFFFFF"/>
          <w:lang w:val="en-US" w:eastAsia="zh-CN"/>
        </w:rPr>
      </w:pPr>
      <w:r>
        <w:rPr>
          <w:rFonts w:hint="eastAsia" w:eastAsia="仿宋_GB2312"/>
          <w:b w:val="0"/>
          <w:bCs w:val="0"/>
          <w:color w:val="auto"/>
          <w:sz w:val="32"/>
          <w:szCs w:val="32"/>
          <w:u w:val="none"/>
          <w:lang w:val="en-US" w:eastAsia="zh-CN"/>
        </w:rPr>
        <w:t>（5）</w:t>
      </w:r>
      <w:r>
        <w:rPr>
          <w:rFonts w:hint="eastAsia" w:ascii="仿宋_GB2312" w:hAnsi="仿宋_GB2312" w:eastAsia="仿宋_GB2312"/>
          <w:b w:val="0"/>
          <w:bCs w:val="0"/>
          <w:snapToGrid/>
          <w:sz w:val="32"/>
          <w:szCs w:val="32"/>
          <w:u w:val="none"/>
          <w:shd w:val="clear" w:color="auto" w:fill="FFFFFF"/>
          <w:lang w:val="en-US" w:eastAsia="zh-CN"/>
        </w:rPr>
        <w:t>近3年年均到账经费3万元及以上</w:t>
      </w:r>
      <w:r>
        <w:rPr>
          <w:rFonts w:hint="eastAsia" w:eastAsia="仿宋_GB2312"/>
          <w:b w:val="0"/>
          <w:bCs w:val="0"/>
          <w:color w:val="auto"/>
          <w:sz w:val="32"/>
          <w:szCs w:val="32"/>
          <w:u w:val="none"/>
          <w:lang w:val="en-US" w:eastAsia="zh-CN"/>
        </w:rPr>
        <w:t>者</w:t>
      </w:r>
      <w:r>
        <w:rPr>
          <w:rFonts w:hint="eastAsia" w:ascii="仿宋_GB2312" w:hAnsi="仿宋_GB2312" w:eastAsia="仿宋_GB2312"/>
          <w:b w:val="0"/>
          <w:bCs w:val="0"/>
          <w:snapToGrid/>
          <w:sz w:val="32"/>
          <w:szCs w:val="32"/>
          <w:u w:val="none"/>
          <w:shd w:val="clear" w:color="auto" w:fill="FFFFFF"/>
          <w:lang w:val="en-US" w:eastAsia="zh-CN"/>
        </w:rPr>
        <w:t>，</w:t>
      </w:r>
      <w:r>
        <w:rPr>
          <w:rFonts w:hint="eastAsia" w:eastAsia="仿宋_GB2312"/>
          <w:b w:val="0"/>
          <w:bCs w:val="0"/>
          <w:color w:val="auto"/>
          <w:sz w:val="32"/>
          <w:szCs w:val="32"/>
          <w:u w:val="none"/>
          <w:lang w:val="en-US" w:eastAsia="zh-CN"/>
        </w:rPr>
        <w:t>符合以下条件之一的</w:t>
      </w:r>
      <w:r>
        <w:rPr>
          <w:rFonts w:hint="eastAsia" w:ascii="仿宋_GB2312" w:hAnsi="仿宋_GB2312" w:eastAsia="仿宋_GB2312"/>
          <w:b w:val="0"/>
          <w:bCs w:val="0"/>
          <w:snapToGrid/>
          <w:sz w:val="32"/>
          <w:szCs w:val="32"/>
          <w:u w:val="none"/>
          <w:shd w:val="clear" w:color="auto" w:fill="FFFFFF"/>
          <w:lang w:val="en-US" w:eastAsia="zh-CN"/>
        </w:rPr>
        <w:t>可予以申请专业学位招生资格：</w:t>
      </w:r>
    </w:p>
    <w:p>
      <w:pPr>
        <w:numPr>
          <w:ilvl w:val="0"/>
          <w:numId w:val="3"/>
        </w:numPr>
        <w:ind w:left="0" w:leftChars="0" w:firstLine="640" w:firstLineChars="200"/>
        <w:rPr>
          <w:rFonts w:hint="eastAsia" w:eastAsia="仿宋_GB2312"/>
          <w:b w:val="0"/>
          <w:bCs w:val="0"/>
          <w:color w:val="auto"/>
          <w:sz w:val="32"/>
          <w:szCs w:val="32"/>
          <w:u w:val="none"/>
          <w:lang w:val="en-US" w:eastAsia="zh-CN"/>
        </w:rPr>
      </w:pPr>
      <w:r>
        <w:rPr>
          <w:rFonts w:hint="eastAsia" w:ascii="仿宋_GB2312" w:hAnsi="仿宋_GB2312" w:eastAsia="仿宋_GB2312"/>
          <w:b w:val="0"/>
          <w:bCs w:val="0"/>
          <w:snapToGrid/>
          <w:sz w:val="32"/>
          <w:szCs w:val="32"/>
          <w:u w:val="none"/>
          <w:shd w:val="clear" w:color="auto" w:fill="FFFFFF"/>
          <w:lang w:val="en-US" w:eastAsia="zh-CN"/>
        </w:rPr>
        <w:t>近三年对学校教学改革作出较大贡献，并获得“省级教学名师”及以上称号。</w:t>
      </w:r>
    </w:p>
    <w:p>
      <w:pPr>
        <w:numPr>
          <w:ilvl w:val="0"/>
          <w:numId w:val="3"/>
        </w:numPr>
        <w:ind w:left="0" w:leftChars="0" w:firstLine="640" w:firstLineChars="200"/>
        <w:rPr>
          <w:rFonts w:hint="eastAsia" w:eastAsia="仿宋_GB2312"/>
          <w:b w:val="0"/>
          <w:bCs w:val="0"/>
          <w:color w:val="auto"/>
          <w:sz w:val="32"/>
          <w:szCs w:val="32"/>
          <w:u w:val="none"/>
          <w:lang w:val="en-US" w:eastAsia="zh-CN"/>
        </w:rPr>
      </w:pPr>
      <w:r>
        <w:rPr>
          <w:rFonts w:hint="eastAsia" w:ascii="仿宋_GB2312" w:hAnsi="仿宋_GB2312" w:eastAsia="仿宋_GB2312"/>
          <w:b w:val="0"/>
          <w:bCs w:val="0"/>
          <w:snapToGrid/>
          <w:sz w:val="32"/>
          <w:szCs w:val="32"/>
          <w:u w:val="none"/>
          <w:shd w:val="clear" w:color="auto" w:fill="FFFFFF"/>
          <w:lang w:val="en-US" w:eastAsia="zh-CN"/>
        </w:rPr>
        <w:t>近三年获得省级及以上教育教学成果奖（高等教育，省级二等奖须为第一负责人，省级一等奖为排名前二，国家级为排名前五）、或评为国家级精品在线开放课程负责人。</w:t>
      </w:r>
    </w:p>
    <w:p>
      <w:pPr>
        <w:numPr>
          <w:ilvl w:val="0"/>
          <w:numId w:val="3"/>
        </w:numPr>
        <w:ind w:left="0" w:leftChars="0" w:firstLine="640" w:firstLineChars="200"/>
        <w:rPr>
          <w:rFonts w:hint="eastAsia" w:eastAsia="仿宋_GB2312"/>
          <w:b w:val="0"/>
          <w:bCs w:val="0"/>
          <w:color w:val="auto"/>
          <w:sz w:val="32"/>
          <w:szCs w:val="32"/>
          <w:u w:val="none"/>
          <w:lang w:val="en-US" w:eastAsia="zh-CN"/>
        </w:rPr>
      </w:pPr>
      <w:r>
        <w:rPr>
          <w:rFonts w:hint="eastAsia" w:ascii="仿宋_GB2312" w:hAnsi="仿宋_GB2312" w:eastAsia="仿宋_GB2312"/>
          <w:b w:val="0"/>
          <w:bCs w:val="0"/>
          <w:snapToGrid/>
          <w:sz w:val="32"/>
          <w:szCs w:val="32"/>
          <w:u w:val="none"/>
          <w:shd w:val="clear" w:color="auto" w:fill="FFFFFF"/>
          <w:lang w:val="en-US" w:eastAsia="zh-CN"/>
        </w:rPr>
        <w:t>近三年主编国家级规划教材。</w:t>
      </w:r>
    </w:p>
    <w:p>
      <w:pPr>
        <w:snapToGrid w:val="0"/>
        <w:spacing w:line="570" w:lineRule="exact"/>
        <w:ind w:firstLine="640" w:firstLineChars="20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（三） 各学位评定分委员会可在满足上述条件下，结合本学院</w:t>
      </w:r>
      <w:r>
        <w:rPr>
          <w:rFonts w:hint="eastAsia" w:eastAsia="仿宋_GB2312"/>
          <w:b w:val="0"/>
          <w:bCs w:val="0"/>
          <w:sz w:val="32"/>
          <w:szCs w:val="32"/>
          <w:lang w:val="en-US" w:eastAsia="zh-CN"/>
        </w:rPr>
        <w:t>学科布局和整体发展的需要，统筹考虑研究生招生资格的</w:t>
      </w:r>
      <w:r>
        <w:rPr>
          <w:rFonts w:hint="eastAsia" w:eastAsia="仿宋_GB2312"/>
          <w:b w:val="0"/>
          <w:bCs w:val="0"/>
          <w:color w:val="auto"/>
          <w:sz w:val="32"/>
          <w:szCs w:val="32"/>
          <w:lang w:val="en-US" w:eastAsia="zh-CN"/>
        </w:rPr>
        <w:t>条件。</w:t>
      </w:r>
    </w:p>
    <w:p>
      <w:pPr>
        <w:snapToGrid w:val="0"/>
        <w:spacing w:line="570" w:lineRule="exact"/>
        <w:ind w:firstLine="640" w:firstLineChars="200"/>
        <w:rPr>
          <w:rFonts w:hint="eastAsia" w:eastAsia="仿宋_GB2312"/>
          <w:b w:val="0"/>
          <w:bCs w:val="0"/>
          <w:color w:val="auto"/>
          <w:sz w:val="32"/>
          <w:szCs w:val="32"/>
          <w:u w:val="none"/>
          <w:lang w:val="en-US" w:eastAsia="zh-CN"/>
        </w:rPr>
      </w:pPr>
      <w:r>
        <w:rPr>
          <w:rFonts w:hint="eastAsia" w:eastAsia="仿宋_GB2312"/>
          <w:b w:val="0"/>
          <w:bCs w:val="0"/>
          <w:color w:val="auto"/>
          <w:sz w:val="32"/>
          <w:szCs w:val="32"/>
          <w:u w:val="none"/>
          <w:lang w:val="en-US" w:eastAsia="zh-CN"/>
        </w:rPr>
        <w:t>（四） 满足上述条件的申请人原则上只能申请招收</w:t>
      </w:r>
      <w:r>
        <w:rPr>
          <w:rFonts w:hint="eastAsia" w:eastAsia="仿宋_GB2312"/>
          <w:b w:val="0"/>
          <w:bCs w:val="0"/>
          <w:strike w:val="0"/>
          <w:dstrike w:val="0"/>
          <w:color w:val="auto"/>
          <w:sz w:val="32"/>
          <w:szCs w:val="32"/>
          <w:u w:val="none"/>
          <w:lang w:val="en-US" w:eastAsia="zh-CN"/>
        </w:rPr>
        <w:t>各学位类型</w:t>
      </w:r>
      <w:r>
        <w:rPr>
          <w:rFonts w:hint="eastAsia" w:eastAsia="仿宋_GB2312"/>
          <w:b w:val="0"/>
          <w:bCs w:val="0"/>
          <w:color w:val="auto"/>
          <w:sz w:val="32"/>
          <w:szCs w:val="32"/>
          <w:u w:val="none"/>
          <w:lang w:val="en-US" w:eastAsia="zh-CN"/>
        </w:rPr>
        <w:t>研究生1人，</w:t>
      </w:r>
      <w:r>
        <w:rPr>
          <w:rFonts w:hint="eastAsia" w:eastAsia="仿宋_GB2312"/>
          <w:b w:val="0"/>
          <w:bCs w:val="0"/>
          <w:strike w:val="0"/>
          <w:dstrike w:val="0"/>
          <w:color w:val="auto"/>
          <w:sz w:val="32"/>
          <w:szCs w:val="32"/>
          <w:u w:val="none"/>
          <w:lang w:val="en-US" w:eastAsia="zh-CN"/>
        </w:rPr>
        <w:t>招生名额的分配以研究生学院当年公布的《研究生招生指标分配方案》为准。</w:t>
      </w:r>
    </w:p>
    <w:p>
      <w:pPr>
        <w:snapToGrid w:val="0"/>
        <w:spacing w:line="570" w:lineRule="exact"/>
        <w:ind w:firstLine="640" w:firstLineChars="20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（五） 同一申请人原则上只能在一个学科领域或专业学位类别（领域）申请招生资格评定/认定，不允许跨学科申请学术学位或跨类别（领域）申请专业学位招生资格。</w:t>
      </w:r>
    </w:p>
    <w:p>
      <w:pPr>
        <w:snapToGrid w:val="0"/>
        <w:spacing w:line="570" w:lineRule="exact"/>
        <w:ind w:firstLine="640" w:firstLineChars="20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第十六条 研究生招生资格评定程序</w:t>
      </w:r>
    </w:p>
    <w:p>
      <w:pPr>
        <w:snapToGrid w:val="0"/>
        <w:spacing w:line="570" w:lineRule="exact"/>
        <w:ind w:firstLine="640" w:firstLineChars="20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（一） 申请人填写《广东药</w:t>
      </w:r>
      <w:r>
        <w:rPr>
          <w:rFonts w:hint="eastAsia" w:eastAsia="仿宋_GB2312"/>
          <w:b w:val="0"/>
          <w:bCs w:val="0"/>
          <w:strike w:val="0"/>
          <w:dstrike w:val="0"/>
          <w:color w:val="auto"/>
          <w:sz w:val="32"/>
          <w:szCs w:val="32"/>
          <w:lang w:val="en-US" w:eastAsia="zh-CN"/>
        </w:rPr>
        <w:t>科大学</w:t>
      </w:r>
      <w:r>
        <w:rPr>
          <w:rFonts w:hint="eastAsia" w:eastAsia="仿宋_GB2312"/>
          <w:b w:val="0"/>
          <w:bCs w:val="0"/>
          <w:color w:val="auto"/>
          <w:sz w:val="32"/>
          <w:szCs w:val="32"/>
          <w:lang w:val="en-US" w:eastAsia="zh-CN"/>
        </w:rPr>
        <w:t>评定研究生招生资格审查表》）一份，连同相关证明材料（如科研项目立项文件、发表论著、成果证明复印件、财务证明等）一起送交本人所在单位。</w:t>
      </w:r>
    </w:p>
    <w:p>
      <w:pPr>
        <w:snapToGrid w:val="0"/>
        <w:spacing w:line="570" w:lineRule="exact"/>
        <w:ind w:firstLine="640" w:firstLineChars="20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 xml:space="preserve">（二） </w:t>
      </w:r>
      <w:r>
        <w:rPr>
          <w:rFonts w:hint="eastAsia" w:eastAsia="仿宋_GB2312"/>
          <w:b w:val="0"/>
          <w:bCs w:val="0"/>
          <w:strike w:val="0"/>
          <w:dstrike w:val="0"/>
          <w:color w:val="auto"/>
          <w:sz w:val="32"/>
          <w:szCs w:val="32"/>
          <w:lang w:val="en-US" w:eastAsia="zh-CN"/>
        </w:rPr>
        <w:t>申请所在单位</w:t>
      </w:r>
      <w:r>
        <w:rPr>
          <w:rFonts w:hint="eastAsia" w:eastAsia="仿宋_GB2312"/>
          <w:b w:val="0"/>
          <w:bCs w:val="0"/>
          <w:color w:val="auto"/>
          <w:sz w:val="32"/>
          <w:szCs w:val="32"/>
          <w:lang w:val="en-US" w:eastAsia="zh-CN"/>
        </w:rPr>
        <w:t>对申请人的材料进行核查，对符合条件的材料予以不少于3天的公示，并在规定时间内报送招生专业所属学位评定分委员会。</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 xml:space="preserve">（三） 学位评定分委员会对个人申请材料进行认真评审，提出评审意见，报研究生学院。 </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（四） 研究生学院对相关申报材料进行综合审查，同时根据当年度的《研究生招生指标分配方案》分配拟招生指标，提交学校学位评定委员会审定。</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（五） 学校学位评定委员会对研究生招生资格及招生指标进行审定。通过名单在网上公示7天无异议后由研究生学院发文公布。</w:t>
      </w:r>
    </w:p>
    <w:p>
      <w:pPr>
        <w:numPr>
          <w:ilvl w:val="0"/>
          <w:numId w:val="0"/>
        </w:numPr>
        <w:snapToGrid w:val="0"/>
        <w:spacing w:line="570" w:lineRule="exact"/>
        <w:rPr>
          <w:rFonts w:hint="eastAsia" w:eastAsia="仿宋_GB2312"/>
          <w:b w:val="0"/>
          <w:bCs w:val="0"/>
          <w:sz w:val="32"/>
          <w:szCs w:val="32"/>
          <w:lang w:val="en-US" w:eastAsia="zh-CN"/>
        </w:rPr>
      </w:pPr>
      <w:r>
        <w:rPr>
          <w:rFonts w:hint="eastAsia" w:eastAsia="仿宋_GB2312"/>
          <w:b w:val="0"/>
          <w:bCs w:val="0"/>
          <w:sz w:val="32"/>
          <w:szCs w:val="32"/>
          <w:lang w:val="en-US" w:eastAsia="zh-CN"/>
        </w:rPr>
        <w:t xml:space="preserve">   第十七条 凡符合下列条件之一的教师，可免评直接认定</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（一）院士、国家杰出青年基金获得者、长江学者、珠江学者。</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二）新调进我校的教师或科研人员，在原单位已具有研究生导师资格或已取得过研究生招生资格，且有招收、培养研究生经验者，能提供原单位科研项目及科研经费证明的可免除第一年研究生招生资格的评定，直接认定。</w:t>
      </w:r>
    </w:p>
    <w:p>
      <w:pPr>
        <w:snapToGrid w:val="0"/>
        <w:spacing w:line="570" w:lineRule="exact"/>
        <w:ind w:firstLine="640" w:firstLineChars="20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（三）研究生培养质量较高，满足以下条件之一者，可免除下一年度相应学位类型研究生招生资格的评定，直接认定（获奖时间需在统计时间范围内，获奖时间以证书或文件颁发时间为准）：</w:t>
      </w:r>
    </w:p>
    <w:p>
      <w:pPr>
        <w:numPr>
          <w:ilvl w:val="0"/>
          <w:numId w:val="4"/>
        </w:numPr>
        <w:snapToGrid w:val="0"/>
        <w:spacing w:line="570" w:lineRule="exact"/>
        <w:ind w:left="0" w:leftChars="0" w:firstLine="640" w:firstLineChars="20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培养的研究生获上年度省级优秀硕士学位论文奖励。</w:t>
      </w:r>
    </w:p>
    <w:p>
      <w:pPr>
        <w:numPr>
          <w:ilvl w:val="0"/>
          <w:numId w:val="4"/>
        </w:numPr>
        <w:snapToGrid w:val="0"/>
        <w:spacing w:line="570" w:lineRule="exact"/>
        <w:ind w:left="0" w:leftChars="0" w:firstLine="640" w:firstLineChars="20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连续三年培养的同一学位类型研究生获校级优秀毕业生。</w:t>
      </w:r>
    </w:p>
    <w:p>
      <w:pPr>
        <w:numPr>
          <w:ilvl w:val="0"/>
          <w:numId w:val="4"/>
        </w:numPr>
        <w:snapToGrid w:val="0"/>
        <w:spacing w:line="570" w:lineRule="exact"/>
        <w:ind w:left="0" w:leftChars="0" w:firstLine="640" w:firstLineChars="20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连续三年培养的同一学位类型研究生获校级优秀硕士学位论文。</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color w:val="auto"/>
          <w:sz w:val="32"/>
          <w:szCs w:val="32"/>
          <w:lang w:val="en-US" w:eastAsia="zh-CN"/>
        </w:rPr>
        <w:t>研究生招生资格认定条件与评定基本条件一致，新调进我校的教师或科研人员发表学术论文的单位署名不作要求。凡申请研究生招生资格认定者需填写《广东药</w:t>
      </w:r>
      <w:r>
        <w:rPr>
          <w:rFonts w:hint="eastAsia" w:eastAsia="仿宋_GB2312"/>
          <w:b w:val="0"/>
          <w:bCs w:val="0"/>
          <w:strike w:val="0"/>
          <w:dstrike w:val="0"/>
          <w:color w:val="auto"/>
          <w:sz w:val="32"/>
          <w:szCs w:val="32"/>
          <w:lang w:val="en-US" w:eastAsia="zh-CN"/>
        </w:rPr>
        <w:t>科大学</w:t>
      </w:r>
      <w:r>
        <w:rPr>
          <w:rFonts w:hint="eastAsia" w:eastAsia="仿宋_GB2312"/>
          <w:b w:val="0"/>
          <w:bCs w:val="0"/>
          <w:color w:val="auto"/>
          <w:sz w:val="32"/>
          <w:szCs w:val="32"/>
          <w:lang w:val="en-US" w:eastAsia="zh-CN"/>
        </w:rPr>
        <w:t>免评认定研究生招生资格审核表》，认定程序与评定程序一</w:t>
      </w:r>
      <w:r>
        <w:rPr>
          <w:rFonts w:hint="eastAsia" w:eastAsia="仿宋_GB2312"/>
          <w:b w:val="0"/>
          <w:bCs w:val="0"/>
          <w:sz w:val="32"/>
          <w:szCs w:val="32"/>
          <w:lang w:val="en-US" w:eastAsia="zh-CN"/>
        </w:rPr>
        <w:t>致。</w:t>
      </w:r>
    </w:p>
    <w:p>
      <w:pPr>
        <w:numPr>
          <w:ilvl w:val="0"/>
          <w:numId w:val="0"/>
        </w:numPr>
        <w:snapToGrid w:val="0"/>
        <w:spacing w:line="570" w:lineRule="exact"/>
        <w:rPr>
          <w:rFonts w:hint="eastAsia" w:eastAsia="仿宋_GB2312"/>
          <w:b w:val="0"/>
          <w:bCs w:val="0"/>
          <w:sz w:val="32"/>
          <w:szCs w:val="32"/>
          <w:lang w:val="en-US" w:eastAsia="zh-CN"/>
        </w:rPr>
      </w:pPr>
      <w:r>
        <w:rPr>
          <w:rFonts w:hint="eastAsia" w:eastAsia="仿宋_GB2312"/>
          <w:b w:val="0"/>
          <w:bCs w:val="0"/>
          <w:sz w:val="32"/>
          <w:szCs w:val="32"/>
          <w:lang w:val="en-US" w:eastAsia="zh-CN"/>
        </w:rPr>
        <w:t xml:space="preserve">    第十八条 研究生招生资格每年评定（认定）一次，当年有效。评定（认定）工作开展时间以当年通知为准。</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第十九条 在各学位评定分委员会名单公示期内，申请人认为对其本人的申请审核存在不公或者错误的，可向本单位学位审议机构实名提出申诉并提供相应证据证明；若对申诉的处理意见仍有异议可向研究生学院提出复审。</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各学位评定分委员会还应负责公示期内的其他异议调查处理，有关情况应报研究生院备案。对申请材料中有弄虚作假等违反学术规范行为的申请人，一经查实，学校将终止对其招生资格的审核，3年内不接受申请。对违反学校有关规定，存在不实审核的，学校将酌情核减相应学科的下一年度招生计划。</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教师对学校最后评定或认定结果有异议，可在结果公示期内向研究生学院提出书面申诉，逾期不予受理。研究生学院在接到申诉后15个工作日内对原始材料重新审查，报学校学位评定委员会复议，并将复议结果书面通知申诉者本人。</w:t>
      </w:r>
    </w:p>
    <w:p>
      <w:pPr>
        <w:snapToGrid w:val="0"/>
        <w:spacing w:line="570" w:lineRule="exact"/>
        <w:jc w:val="center"/>
        <w:rPr>
          <w:rFonts w:hint="eastAsia" w:ascii="黑体" w:hAnsi="黑体" w:eastAsia="黑体" w:cs="黑体"/>
          <w:b w:val="0"/>
          <w:bCs w:val="0"/>
          <w:sz w:val="32"/>
          <w:szCs w:val="32"/>
          <w:lang w:val="en-US" w:eastAsia="zh-CN"/>
        </w:rPr>
      </w:pPr>
    </w:p>
    <w:p>
      <w:pPr>
        <w:snapToGrid w:val="0"/>
        <w:spacing w:line="570" w:lineRule="exact"/>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第四章 导师考核</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第二十条 为强化研究生导师履行岗位职责的意识，改进研究生培养工作，提高研究生培养质量，我校研究生导师实行定期考核。</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第二十一条 导师考核应遵循公开、公平与公正的原则。考核原则上每三年进行一次，考核时间原则上定为考核年度的九月至十月，考核工作由学校研究生学院组织，在各学位评定分委员会实施。</w:t>
      </w:r>
    </w:p>
    <w:p>
      <w:pPr>
        <w:snapToGrid w:val="0"/>
        <w:spacing w:line="570" w:lineRule="exact"/>
        <w:ind w:firstLine="640"/>
        <w:rPr>
          <w:rFonts w:hint="eastAsia" w:eastAsia="仿宋_GB2312"/>
          <w:b w:val="0"/>
          <w:bCs w:val="0"/>
          <w:sz w:val="32"/>
          <w:szCs w:val="32"/>
          <w:lang w:val="en-US" w:eastAsia="zh-CN"/>
        </w:rPr>
      </w:pPr>
      <w:r>
        <w:rPr>
          <w:rFonts w:hint="eastAsia" w:eastAsia="仿宋_GB2312"/>
          <w:b w:val="0"/>
          <w:bCs w:val="0"/>
          <w:sz w:val="32"/>
          <w:szCs w:val="32"/>
          <w:lang w:val="en-US" w:eastAsia="zh-CN"/>
        </w:rPr>
        <w:t>第二十二条 考核范围：已完整带满一届及以上的所有在职在岗研究生导师。考核期内身患严重疾病、无法履职达一年以上的导师原则上不参加考核。</w:t>
      </w:r>
    </w:p>
    <w:p>
      <w:pPr>
        <w:snapToGrid w:val="0"/>
        <w:spacing w:line="570" w:lineRule="exact"/>
        <w:ind w:firstLine="640" w:firstLineChars="200"/>
        <w:rPr>
          <w:rFonts w:hint="eastAsia" w:eastAsia="仿宋_GB2312"/>
          <w:b w:val="0"/>
          <w:bCs w:val="0"/>
          <w:color w:val="auto"/>
          <w:sz w:val="32"/>
          <w:szCs w:val="32"/>
          <w:lang w:val="en-US" w:eastAsia="zh-CN"/>
        </w:rPr>
      </w:pPr>
      <w:r>
        <w:rPr>
          <w:rFonts w:hint="eastAsia" w:eastAsia="仿宋_GB2312"/>
          <w:b w:val="0"/>
          <w:bCs w:val="0"/>
          <w:sz w:val="32"/>
          <w:szCs w:val="32"/>
          <w:lang w:val="en-US" w:eastAsia="zh-CN"/>
        </w:rPr>
        <w:t>第二十三条 研究生导师考核内容包括职业素养、业务水平（教学方面和科研方面）以及其学生培养质量等方面内容。考核采取指标评价和学生评价相结合的方式。具体考核内容见</w:t>
      </w:r>
      <w:r>
        <w:rPr>
          <w:rFonts w:hint="eastAsia" w:eastAsia="仿宋_GB2312"/>
          <w:b w:val="0"/>
          <w:bCs w:val="0"/>
          <w:color w:val="auto"/>
          <w:sz w:val="32"/>
          <w:szCs w:val="32"/>
          <w:lang w:val="en-US" w:eastAsia="zh-CN"/>
        </w:rPr>
        <w:t>《广东药</w:t>
      </w:r>
      <w:r>
        <w:rPr>
          <w:rFonts w:hint="eastAsia" w:eastAsia="仿宋_GB2312"/>
          <w:b w:val="0"/>
          <w:bCs w:val="0"/>
          <w:strike w:val="0"/>
          <w:dstrike w:val="0"/>
          <w:color w:val="auto"/>
          <w:sz w:val="32"/>
          <w:szCs w:val="32"/>
          <w:lang w:val="en-US" w:eastAsia="zh-CN"/>
        </w:rPr>
        <w:t>科大学</w:t>
      </w:r>
      <w:r>
        <w:rPr>
          <w:rFonts w:hint="eastAsia" w:eastAsia="仿宋_GB2312"/>
          <w:b w:val="0"/>
          <w:bCs w:val="0"/>
          <w:color w:val="auto"/>
          <w:sz w:val="32"/>
          <w:szCs w:val="32"/>
          <w:lang w:val="en-US" w:eastAsia="zh-CN"/>
        </w:rPr>
        <w:t>硕士研究生导师考核指标评价体系》。</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第二十四条 考核程序</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color w:val="auto"/>
          <w:sz w:val="32"/>
          <w:szCs w:val="32"/>
          <w:lang w:val="en-US" w:eastAsia="zh-CN"/>
        </w:rPr>
        <w:t>硕士生导师填写《广东药</w:t>
      </w:r>
      <w:r>
        <w:rPr>
          <w:rFonts w:hint="eastAsia" w:eastAsia="仿宋_GB2312"/>
          <w:b w:val="0"/>
          <w:bCs w:val="0"/>
          <w:strike w:val="0"/>
          <w:dstrike w:val="0"/>
          <w:color w:val="auto"/>
          <w:sz w:val="32"/>
          <w:szCs w:val="32"/>
          <w:lang w:val="en-US" w:eastAsia="zh-CN"/>
        </w:rPr>
        <w:t>科大学</w:t>
      </w:r>
      <w:r>
        <w:rPr>
          <w:rFonts w:hint="eastAsia" w:eastAsia="仿宋_GB2312"/>
          <w:b w:val="0"/>
          <w:bCs w:val="0"/>
          <w:color w:val="auto"/>
          <w:sz w:val="32"/>
          <w:szCs w:val="32"/>
          <w:lang w:val="en-US" w:eastAsia="zh-CN"/>
        </w:rPr>
        <w:t>研究生指导教师考核表》，</w:t>
      </w:r>
      <w:r>
        <w:rPr>
          <w:rFonts w:hint="eastAsia" w:eastAsia="仿宋_GB2312"/>
          <w:b w:val="0"/>
          <w:bCs w:val="0"/>
          <w:sz w:val="32"/>
          <w:szCs w:val="32"/>
          <w:lang w:val="en-US" w:eastAsia="zh-CN"/>
        </w:rPr>
        <w:t>连同佐证材料一并送交所属学位评定分委员会初审。</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各学位评定分委员会审核导师所填考核表内容的真实性，对照考核指标评价体系进行评分，签署审核意见后，将相关材料报送研究生学院核审。</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研究生学院对材料进行复审，评定研究生导师的考核结果，报学校学位评定委员会审定，并对考核结果为“优秀”的材料予以不少于7天的网上公示。</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第二十五条 考核结果分为优秀、合格、不合格三个等级。考核得分排前15%的为优秀，考核得分60及以上的为合格，考核得分低于60的为不合格。考核结果由研究生学院归档。</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第二十六条 导师有下列情形之一者，考核直接确定为不合格：</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（一）在研究生入学考试（含复试）命题、评卷工作中出现泄露命题内容或徇私舞弊等错误的。</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 xml:space="preserve">（二）学术论文（著作）有违背科研道德、学术规范行为的。 </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（三）无故不接受研究生教学或指导工作，在研究生教育教学工作中发生严重教学事故，以及无故拒绝参加考核的。</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（四）所指导的研究生存在严重的学术不端行为，或对所指导的研究生发生严重违法违纪行为受到处分等事件负有重要责任的。</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（五）存在师德师风问题，被指导的研究生投诉（查证属实）达3次及以上的。</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（六）考核年度内出现所指导的研究生要求转导师（学生身体原因除外）的情况，累计达5人次及以上的。</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（七）提供不实考核材料，或在资格申报、培养、和学位授予工作中弄虚作假，有损相关学位授权点和学校声誉的。</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（八）有其他严重违规或违法行为的。</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第二十七条 考核结果的处理</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导师考核优秀者，学校将予以表彰，并在招生指标上给予适当的倾斜。</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导师考核合格者，可继续指导研究生，同时正常参与学校下年度研究生招生资格的评定（认定）。</w:t>
      </w:r>
    </w:p>
    <w:p>
      <w:pPr>
        <w:snapToGrid w:val="0"/>
        <w:spacing w:line="570" w:lineRule="exact"/>
        <w:ind w:firstLine="640" w:firstLineChars="200"/>
        <w:rPr>
          <w:rFonts w:hint="eastAsia" w:ascii="楷体" w:hAnsi="楷体" w:eastAsia="楷体" w:cs="楷体"/>
          <w:b w:val="0"/>
          <w:bCs w:val="0"/>
          <w:color w:val="auto"/>
          <w:kern w:val="0"/>
          <w:sz w:val="28"/>
          <w:szCs w:val="28"/>
          <w:shd w:val="clear" w:color="auto" w:fill="auto"/>
          <w:lang w:val="en-US" w:eastAsia="zh-CN" w:bidi="ar"/>
        </w:rPr>
      </w:pPr>
      <w:r>
        <w:rPr>
          <w:rFonts w:hint="eastAsia" w:eastAsia="仿宋_GB2312"/>
          <w:b w:val="0"/>
          <w:bCs w:val="0"/>
          <w:sz w:val="32"/>
          <w:szCs w:val="32"/>
          <w:lang w:val="en-US" w:eastAsia="zh-CN"/>
        </w:rPr>
        <w:t>导师考核不合格者，暂停其下年度的研究生招生资格评定（认</w:t>
      </w:r>
      <w:r>
        <w:rPr>
          <w:rFonts w:hint="eastAsia" w:eastAsia="仿宋_GB2312"/>
          <w:b w:val="0"/>
          <w:bCs w:val="0"/>
          <w:color w:val="auto"/>
          <w:sz w:val="32"/>
          <w:szCs w:val="32"/>
          <w:lang w:val="en-US" w:eastAsia="zh-CN"/>
        </w:rPr>
        <w:t>定）；若出现本办法第二十七条（一）、（二）、（四）、（五）、（七）、（八）款规定情形并查证属实的，取消其研究生招生资格终身，且不允许继续指导研究生，其已指导但尚未毕业的硕士研究生由</w:t>
      </w:r>
      <w:r>
        <w:rPr>
          <w:rFonts w:hint="eastAsia" w:eastAsia="仿宋_GB2312"/>
          <w:b w:val="0"/>
          <w:bCs w:val="0"/>
          <w:strike w:val="0"/>
          <w:dstrike w:val="0"/>
          <w:color w:val="auto"/>
          <w:sz w:val="32"/>
          <w:szCs w:val="32"/>
          <w:lang w:val="en-US" w:eastAsia="zh-CN"/>
        </w:rPr>
        <w:t>一级学科学位授权点（专业学位授权点）所在二级单位（下简称“二级单位”）</w:t>
      </w:r>
      <w:r>
        <w:rPr>
          <w:rFonts w:hint="eastAsia" w:eastAsia="仿宋_GB2312"/>
          <w:b w:val="0"/>
          <w:bCs w:val="0"/>
          <w:color w:val="auto"/>
          <w:sz w:val="32"/>
          <w:szCs w:val="32"/>
          <w:lang w:val="en-US" w:eastAsia="zh-CN"/>
        </w:rPr>
        <w:t>委派其他导师指导。</w:t>
      </w:r>
    </w:p>
    <w:p>
      <w:pPr>
        <w:snapToGrid w:val="0"/>
        <w:spacing w:line="570" w:lineRule="exact"/>
        <w:ind w:firstLine="640" w:firstLineChars="200"/>
        <w:rPr>
          <w:rFonts w:hint="eastAsia" w:eastAsia="仿宋_GB2312"/>
          <w:b w:val="0"/>
          <w:bCs w:val="0"/>
          <w:sz w:val="32"/>
          <w:szCs w:val="32"/>
          <w:lang w:val="en-US" w:eastAsia="zh-CN"/>
        </w:rPr>
      </w:pPr>
      <w:r>
        <w:rPr>
          <w:rFonts w:hint="eastAsia" w:eastAsia="仿宋_GB2312"/>
          <w:b w:val="0"/>
          <w:bCs w:val="0"/>
          <w:sz w:val="32"/>
          <w:szCs w:val="32"/>
          <w:lang w:val="en-US" w:eastAsia="zh-CN"/>
        </w:rPr>
        <w:t>第二十八条 导师对考核结果有异议，研究生学院在公布考核结果起15日内，接受其书面复核申请，逾期不予受理。在接到申请后15个工作日内对考核结果进行复核，并将复核意见书面通知导师本人。</w:t>
      </w:r>
    </w:p>
    <w:p>
      <w:pPr>
        <w:snapToGrid w:val="0"/>
        <w:spacing w:line="570" w:lineRule="exact"/>
        <w:ind w:firstLine="560" w:firstLineChars="200"/>
        <w:rPr>
          <w:rFonts w:hint="eastAsia" w:ascii="仿宋_GB2312" w:hAnsi="闁诲海鎳撻鍕礊?" w:eastAsia="仿宋_GB2312" w:cs="仿宋_GB2312"/>
          <w:b w:val="0"/>
          <w:bCs w:val="0"/>
          <w:color w:val="auto"/>
          <w:kern w:val="0"/>
          <w:sz w:val="28"/>
          <w:szCs w:val="28"/>
          <w:shd w:val="clear" w:color="auto" w:fill="auto"/>
          <w:lang w:val="en-US" w:eastAsia="zh-CN" w:bidi="ar"/>
        </w:rPr>
      </w:pPr>
    </w:p>
    <w:p>
      <w:pPr>
        <w:snapToGrid w:val="0"/>
        <w:spacing w:line="570" w:lineRule="exact"/>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章 导师管理</w:t>
      </w:r>
    </w:p>
    <w:p>
      <w:pPr>
        <w:snapToGrid w:val="0"/>
        <w:spacing w:line="570" w:lineRule="exact"/>
        <w:ind w:firstLine="640" w:firstLineChars="200"/>
        <w:rPr>
          <w:rFonts w:hint="eastAsia" w:eastAsia="仿宋_GB2312"/>
          <w:b w:val="0"/>
          <w:bCs w:val="0"/>
          <w:sz w:val="32"/>
          <w:szCs w:val="32"/>
        </w:rPr>
      </w:pPr>
      <w:r>
        <w:rPr>
          <w:rFonts w:hint="eastAsia" w:eastAsia="仿宋_GB2312"/>
          <w:b w:val="0"/>
          <w:bCs w:val="0"/>
          <w:sz w:val="32"/>
          <w:szCs w:val="32"/>
          <w:lang w:eastAsia="zh-CN"/>
        </w:rPr>
        <w:t>第二十九条</w:t>
      </w:r>
      <w:r>
        <w:rPr>
          <w:rFonts w:hint="eastAsia" w:eastAsia="仿宋_GB2312"/>
          <w:b w:val="0"/>
          <w:bCs w:val="0"/>
          <w:sz w:val="32"/>
          <w:szCs w:val="32"/>
          <w:lang w:val="en-US" w:eastAsia="zh-CN"/>
        </w:rPr>
        <w:t xml:space="preserve">  </w:t>
      </w:r>
      <w:r>
        <w:rPr>
          <w:rFonts w:hint="eastAsia" w:eastAsia="仿宋_GB2312"/>
          <w:b w:val="0"/>
          <w:bCs w:val="0"/>
          <w:sz w:val="32"/>
          <w:szCs w:val="32"/>
        </w:rPr>
        <w:t>因健康原因，不能坚持工作</w:t>
      </w:r>
      <w:r>
        <w:rPr>
          <w:rFonts w:hint="eastAsia" w:eastAsia="仿宋_GB2312"/>
          <w:b w:val="0"/>
          <w:bCs w:val="0"/>
          <w:sz w:val="32"/>
          <w:szCs w:val="32"/>
          <w:lang w:eastAsia="zh-CN"/>
        </w:rPr>
        <w:t>者，</w:t>
      </w:r>
      <w:r>
        <w:rPr>
          <w:rFonts w:hint="eastAsia" w:eastAsia="仿宋_GB2312"/>
          <w:b w:val="0"/>
          <w:bCs w:val="0"/>
          <w:sz w:val="32"/>
          <w:szCs w:val="32"/>
        </w:rPr>
        <w:t>经学校学位评定委员会批准，</w:t>
      </w:r>
      <w:r>
        <w:rPr>
          <w:rFonts w:hint="eastAsia" w:eastAsia="仿宋_GB2312"/>
          <w:b w:val="0"/>
          <w:bCs w:val="0"/>
          <w:sz w:val="32"/>
          <w:szCs w:val="32"/>
          <w:lang w:eastAsia="zh-CN"/>
        </w:rPr>
        <w:t>取消其研究生招生资格</w:t>
      </w:r>
      <w:r>
        <w:rPr>
          <w:rFonts w:hint="eastAsia" w:eastAsia="仿宋_GB2312"/>
          <w:b w:val="0"/>
          <w:bCs w:val="0"/>
          <w:sz w:val="32"/>
          <w:szCs w:val="32"/>
        </w:rPr>
        <w:t xml:space="preserve">。 </w:t>
      </w:r>
    </w:p>
    <w:p>
      <w:pPr>
        <w:snapToGrid w:val="0"/>
        <w:spacing w:line="570" w:lineRule="exact"/>
        <w:ind w:firstLine="640" w:firstLineChars="200"/>
        <w:rPr>
          <w:rFonts w:hint="eastAsia" w:eastAsia="仿宋_GB2312"/>
          <w:b w:val="0"/>
          <w:bCs w:val="0"/>
          <w:sz w:val="32"/>
          <w:szCs w:val="32"/>
        </w:rPr>
      </w:pPr>
      <w:r>
        <w:rPr>
          <w:rFonts w:hint="eastAsia" w:eastAsia="仿宋_GB2312"/>
          <w:b w:val="0"/>
          <w:bCs w:val="0"/>
          <w:sz w:val="32"/>
          <w:szCs w:val="32"/>
          <w:lang w:eastAsia="zh-CN"/>
        </w:rPr>
        <w:t>第三十条</w:t>
      </w:r>
      <w:r>
        <w:rPr>
          <w:rFonts w:hint="eastAsia" w:eastAsia="仿宋_GB2312"/>
          <w:b w:val="0"/>
          <w:bCs w:val="0"/>
          <w:sz w:val="32"/>
          <w:szCs w:val="32"/>
          <w:lang w:val="en-US" w:eastAsia="zh-CN"/>
        </w:rPr>
        <w:t xml:space="preserve"> </w:t>
      </w:r>
      <w:r>
        <w:rPr>
          <w:rFonts w:hint="eastAsia" w:eastAsia="仿宋_GB2312"/>
          <w:b w:val="0"/>
          <w:bCs w:val="0"/>
          <w:sz w:val="32"/>
          <w:szCs w:val="32"/>
        </w:rPr>
        <w:t xml:space="preserve">导师上岗年龄：研究生导师距离退休年龄不足三年时一般不再安排招生。特殊情况经学校学位评定委员会同意可适当延长年限。 </w:t>
      </w:r>
    </w:p>
    <w:p>
      <w:pPr>
        <w:snapToGrid w:val="0"/>
        <w:spacing w:line="570" w:lineRule="exact"/>
        <w:ind w:firstLine="640" w:firstLineChars="200"/>
        <w:rPr>
          <w:rFonts w:hint="eastAsia" w:eastAsia="仿宋_GB2312"/>
          <w:b w:val="0"/>
          <w:bCs w:val="0"/>
          <w:color w:val="auto"/>
          <w:sz w:val="32"/>
          <w:szCs w:val="32"/>
        </w:rPr>
      </w:pPr>
      <w:r>
        <w:rPr>
          <w:rFonts w:hint="eastAsia" w:eastAsia="仿宋_GB2312"/>
          <w:b w:val="0"/>
          <w:bCs w:val="0"/>
          <w:color w:val="auto"/>
          <w:sz w:val="32"/>
          <w:szCs w:val="32"/>
          <w:lang w:eastAsia="zh-CN"/>
        </w:rPr>
        <w:t>第三十一条</w:t>
      </w:r>
      <w:r>
        <w:rPr>
          <w:rFonts w:hint="eastAsia" w:eastAsia="仿宋_GB2312"/>
          <w:b w:val="0"/>
          <w:bCs w:val="0"/>
          <w:color w:val="auto"/>
          <w:sz w:val="32"/>
          <w:szCs w:val="32"/>
        </w:rPr>
        <w:t xml:space="preserve"> 导师在指导研究生期间因故离校（含在职学习、因公出国等）一个月以上一个学期以内者，应预先告知所在</w:t>
      </w:r>
      <w:r>
        <w:rPr>
          <w:rFonts w:hint="eastAsia" w:eastAsia="仿宋_GB2312"/>
          <w:b w:val="0"/>
          <w:bCs w:val="0"/>
          <w:strike w:val="0"/>
          <w:dstrike w:val="0"/>
          <w:color w:val="auto"/>
          <w:sz w:val="32"/>
          <w:szCs w:val="32"/>
        </w:rPr>
        <w:t>二级单位</w:t>
      </w:r>
      <w:r>
        <w:rPr>
          <w:rFonts w:hint="eastAsia" w:eastAsia="仿宋_GB2312"/>
          <w:b w:val="0"/>
          <w:bCs w:val="0"/>
          <w:color w:val="auto"/>
          <w:sz w:val="32"/>
          <w:szCs w:val="32"/>
        </w:rPr>
        <w:t>及研究生</w:t>
      </w:r>
      <w:r>
        <w:rPr>
          <w:rFonts w:hint="eastAsia" w:eastAsia="仿宋_GB2312"/>
          <w:b w:val="0"/>
          <w:bCs w:val="0"/>
          <w:color w:val="auto"/>
          <w:sz w:val="32"/>
          <w:szCs w:val="32"/>
          <w:lang w:eastAsia="zh-CN"/>
        </w:rPr>
        <w:t>学院</w:t>
      </w:r>
      <w:r>
        <w:rPr>
          <w:rFonts w:hint="eastAsia" w:eastAsia="仿宋_GB2312"/>
          <w:b w:val="0"/>
          <w:bCs w:val="0"/>
          <w:color w:val="auto"/>
          <w:sz w:val="32"/>
          <w:szCs w:val="32"/>
        </w:rPr>
        <w:t>，并做好研究生培养工作安排。离校一个学期以上一年以内者，应安排专人负责指导研究生并报所在</w:t>
      </w:r>
      <w:r>
        <w:rPr>
          <w:rFonts w:hint="eastAsia" w:eastAsia="仿宋_GB2312"/>
          <w:b w:val="0"/>
          <w:bCs w:val="0"/>
          <w:strike w:val="0"/>
          <w:dstrike w:val="0"/>
          <w:color w:val="auto"/>
          <w:sz w:val="32"/>
          <w:szCs w:val="32"/>
        </w:rPr>
        <w:t>二级单位</w:t>
      </w:r>
      <w:r>
        <w:rPr>
          <w:rFonts w:hint="eastAsia" w:eastAsia="仿宋_GB2312"/>
          <w:b w:val="0"/>
          <w:bCs w:val="0"/>
          <w:color w:val="auto"/>
          <w:sz w:val="32"/>
          <w:szCs w:val="32"/>
        </w:rPr>
        <w:t>和研究生</w:t>
      </w:r>
      <w:r>
        <w:rPr>
          <w:rFonts w:hint="eastAsia" w:eastAsia="仿宋_GB2312"/>
          <w:b w:val="0"/>
          <w:bCs w:val="0"/>
          <w:color w:val="auto"/>
          <w:sz w:val="32"/>
          <w:szCs w:val="32"/>
          <w:lang w:eastAsia="zh-CN"/>
        </w:rPr>
        <w:t>学院</w:t>
      </w:r>
      <w:r>
        <w:rPr>
          <w:rFonts w:hint="eastAsia" w:eastAsia="仿宋_GB2312"/>
          <w:b w:val="0"/>
          <w:bCs w:val="0"/>
          <w:color w:val="auto"/>
          <w:sz w:val="32"/>
          <w:szCs w:val="32"/>
        </w:rPr>
        <w:t>备案；离校一年以上或调离本校者，对于一、二年级的研究生，一般应更换导师；对于三年级的研究生，导师须继续指导直至学生毕业。</w:t>
      </w:r>
    </w:p>
    <w:p>
      <w:pPr>
        <w:snapToGrid w:val="0"/>
        <w:spacing w:line="570" w:lineRule="exact"/>
        <w:ind w:firstLine="640" w:firstLineChars="200"/>
        <w:rPr>
          <w:rFonts w:hint="eastAsia" w:eastAsia="仿宋_GB2312"/>
          <w:b w:val="0"/>
          <w:bCs w:val="0"/>
          <w:color w:val="auto"/>
          <w:sz w:val="32"/>
          <w:szCs w:val="32"/>
          <w:lang w:eastAsia="zh-CN"/>
        </w:rPr>
      </w:pPr>
      <w:r>
        <w:rPr>
          <w:rFonts w:hint="eastAsia" w:eastAsia="仿宋_GB2312"/>
          <w:b w:val="0"/>
          <w:bCs w:val="0"/>
          <w:color w:val="auto"/>
          <w:sz w:val="32"/>
          <w:szCs w:val="32"/>
          <w:lang w:eastAsia="zh-CN"/>
        </w:rPr>
        <w:t>第三十二条</w:t>
      </w:r>
      <w:r>
        <w:rPr>
          <w:rFonts w:hint="eastAsia" w:eastAsia="仿宋_GB2312"/>
          <w:b w:val="0"/>
          <w:bCs w:val="0"/>
          <w:color w:val="auto"/>
          <w:sz w:val="32"/>
          <w:szCs w:val="32"/>
          <w:lang w:val="en-US" w:eastAsia="zh-CN"/>
        </w:rPr>
        <w:t xml:space="preserve"> </w:t>
      </w:r>
      <w:r>
        <w:rPr>
          <w:rFonts w:hint="eastAsia" w:eastAsia="仿宋_GB2312"/>
          <w:b w:val="0"/>
          <w:bCs w:val="0"/>
          <w:color w:val="auto"/>
          <w:sz w:val="32"/>
          <w:szCs w:val="32"/>
          <w:lang w:eastAsia="zh-CN"/>
        </w:rPr>
        <w:t>导师调离我校的，应从办理调离手续即日起停止其招生资格。调离者若拟继续担任我校导师的，按《广东药</w:t>
      </w:r>
      <w:r>
        <w:rPr>
          <w:rFonts w:hint="eastAsia" w:eastAsia="仿宋_GB2312"/>
          <w:b w:val="0"/>
          <w:bCs w:val="0"/>
          <w:strike w:val="0"/>
          <w:dstrike w:val="0"/>
          <w:color w:val="auto"/>
          <w:sz w:val="32"/>
          <w:szCs w:val="32"/>
          <w:lang w:eastAsia="zh-CN"/>
        </w:rPr>
        <w:t>科大学</w:t>
      </w:r>
      <w:r>
        <w:rPr>
          <w:rFonts w:hint="eastAsia" w:eastAsia="仿宋_GB2312"/>
          <w:b w:val="0"/>
          <w:bCs w:val="0"/>
          <w:color w:val="auto"/>
          <w:sz w:val="32"/>
          <w:szCs w:val="32"/>
          <w:lang w:eastAsia="zh-CN"/>
        </w:rPr>
        <w:t>校外研究生指导教师管理办法》执行。</w:t>
      </w:r>
    </w:p>
    <w:p>
      <w:pPr>
        <w:snapToGrid w:val="0"/>
        <w:spacing w:line="570" w:lineRule="exact"/>
        <w:ind w:firstLine="640" w:firstLineChars="200"/>
        <w:rPr>
          <w:rFonts w:hint="eastAsia" w:eastAsia="仿宋_GB2312"/>
          <w:b w:val="0"/>
          <w:bCs w:val="0"/>
          <w:color w:val="auto"/>
          <w:sz w:val="32"/>
          <w:szCs w:val="32"/>
          <w:lang w:eastAsia="zh-CN"/>
        </w:rPr>
      </w:pPr>
      <w:r>
        <w:rPr>
          <w:rFonts w:hint="eastAsia" w:eastAsia="仿宋_GB2312"/>
          <w:b w:val="0"/>
          <w:bCs w:val="0"/>
          <w:color w:val="auto"/>
          <w:sz w:val="32"/>
          <w:szCs w:val="32"/>
          <w:lang w:eastAsia="zh-CN"/>
        </w:rPr>
        <w:t>第三十三条</w:t>
      </w:r>
      <w:r>
        <w:rPr>
          <w:rFonts w:hint="eastAsia" w:eastAsia="仿宋_GB2312"/>
          <w:b w:val="0"/>
          <w:bCs w:val="0"/>
          <w:color w:val="auto"/>
          <w:sz w:val="32"/>
          <w:szCs w:val="32"/>
        </w:rPr>
        <w:t xml:space="preserve"> 导师在指导研究生期间</w:t>
      </w:r>
      <w:r>
        <w:rPr>
          <w:rFonts w:hint="eastAsia" w:eastAsia="仿宋_GB2312"/>
          <w:b w:val="0"/>
          <w:bCs w:val="0"/>
          <w:color w:val="auto"/>
          <w:sz w:val="32"/>
          <w:szCs w:val="32"/>
          <w:lang w:eastAsia="zh-CN"/>
        </w:rPr>
        <w:t>享有导师月津贴。</w:t>
      </w:r>
    </w:p>
    <w:p>
      <w:pPr>
        <w:snapToGrid w:val="0"/>
        <w:spacing w:line="570" w:lineRule="exact"/>
        <w:rPr>
          <w:rFonts w:hint="eastAsia" w:eastAsia="仿宋_GB2312"/>
          <w:b w:val="0"/>
          <w:bCs w:val="0"/>
          <w:sz w:val="32"/>
          <w:szCs w:val="32"/>
        </w:rPr>
      </w:pPr>
      <w:r>
        <w:rPr>
          <w:rFonts w:hint="eastAsia" w:eastAsia="仿宋_GB2312"/>
          <w:b w:val="0"/>
          <w:bCs w:val="0"/>
          <w:strike w:val="0"/>
          <w:dstrike w:val="0"/>
          <w:color w:val="auto"/>
          <w:sz w:val="32"/>
          <w:szCs w:val="32"/>
          <w:lang w:val="en-US" w:eastAsia="zh-CN"/>
        </w:rPr>
        <w:t xml:space="preserve">    </w:t>
      </w:r>
      <w:r>
        <w:rPr>
          <w:rFonts w:hint="eastAsia" w:eastAsia="仿宋_GB2312"/>
          <w:b w:val="0"/>
          <w:bCs w:val="0"/>
          <w:strike w:val="0"/>
          <w:dstrike w:val="0"/>
          <w:color w:val="auto"/>
          <w:sz w:val="32"/>
          <w:szCs w:val="32"/>
          <w:lang w:eastAsia="zh-CN"/>
        </w:rPr>
        <w:t>第三十四条</w:t>
      </w:r>
      <w:r>
        <w:rPr>
          <w:rFonts w:hint="eastAsia" w:eastAsia="仿宋_GB2312"/>
          <w:b w:val="0"/>
          <w:bCs w:val="0"/>
          <w:color w:val="auto"/>
          <w:sz w:val="32"/>
          <w:szCs w:val="32"/>
        </w:rPr>
        <w:t xml:space="preserve"> </w:t>
      </w:r>
      <w:r>
        <w:rPr>
          <w:rFonts w:hint="eastAsia" w:eastAsia="仿宋_GB2312"/>
          <w:b w:val="0"/>
          <w:bCs w:val="0"/>
          <w:color w:val="auto"/>
          <w:sz w:val="32"/>
          <w:szCs w:val="32"/>
          <w:lang w:eastAsia="zh-CN"/>
        </w:rPr>
        <w:t>各学位</w:t>
      </w:r>
      <w:bookmarkStart w:id="2" w:name="_GoBack"/>
      <w:bookmarkEnd w:id="2"/>
      <w:r>
        <w:rPr>
          <w:rFonts w:hint="eastAsia" w:eastAsia="仿宋_GB2312"/>
          <w:b w:val="0"/>
          <w:bCs w:val="0"/>
          <w:color w:val="auto"/>
          <w:sz w:val="32"/>
          <w:szCs w:val="32"/>
          <w:lang w:eastAsia="zh-CN"/>
        </w:rPr>
        <w:t>评定分委员会</w:t>
      </w:r>
      <w:r>
        <w:rPr>
          <w:rFonts w:hint="eastAsia" w:eastAsia="仿宋_GB2312"/>
          <w:b w:val="0"/>
          <w:bCs w:val="0"/>
          <w:color w:val="auto"/>
          <w:sz w:val="32"/>
          <w:szCs w:val="32"/>
        </w:rPr>
        <w:t>应在职能部门统筹指导</w:t>
      </w:r>
      <w:r>
        <w:rPr>
          <w:rFonts w:hint="eastAsia" w:eastAsia="仿宋_GB2312"/>
          <w:b w:val="0"/>
          <w:bCs w:val="0"/>
          <w:sz w:val="32"/>
          <w:szCs w:val="32"/>
        </w:rPr>
        <w:t>下做好本单位的导师管理工作，加强导师队伍建设，组织导师培训与交流，关心导师工作，认真听取导师对研究生教育工作的意见，妥善解决导师在培养研究生过程中遇到的困难。</w:t>
      </w:r>
    </w:p>
    <w:p>
      <w:pPr>
        <w:snapToGrid w:val="0"/>
        <w:spacing w:line="570" w:lineRule="exact"/>
        <w:ind w:firstLine="560" w:firstLineChars="20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 </w:t>
      </w:r>
    </w:p>
    <w:p>
      <w:pPr>
        <w:snapToGrid w:val="0"/>
        <w:spacing w:line="57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章 附 则</w:t>
      </w:r>
    </w:p>
    <w:p>
      <w:pPr>
        <w:snapToGrid w:val="0"/>
        <w:spacing w:line="570" w:lineRule="exact"/>
        <w:ind w:firstLine="640" w:firstLineChars="200"/>
        <w:rPr>
          <w:rFonts w:hint="eastAsia" w:eastAsia="仿宋_GB2312"/>
          <w:b w:val="0"/>
          <w:bCs w:val="0"/>
          <w:color w:val="auto"/>
          <w:sz w:val="32"/>
          <w:szCs w:val="32"/>
        </w:rPr>
      </w:pPr>
      <w:r>
        <w:rPr>
          <w:rFonts w:hint="eastAsia" w:eastAsia="仿宋_GB2312"/>
          <w:b w:val="0"/>
          <w:bCs w:val="0"/>
          <w:color w:val="auto"/>
          <w:sz w:val="32"/>
          <w:szCs w:val="32"/>
          <w:lang w:eastAsia="zh-CN"/>
        </w:rPr>
        <w:t>第三十五条</w:t>
      </w:r>
      <w:r>
        <w:rPr>
          <w:rFonts w:hint="eastAsia" w:eastAsia="仿宋_GB2312"/>
          <w:b w:val="0"/>
          <w:bCs w:val="0"/>
          <w:color w:val="auto"/>
          <w:sz w:val="32"/>
          <w:szCs w:val="32"/>
          <w:lang w:val="en-US" w:eastAsia="zh-CN"/>
        </w:rPr>
        <w:t xml:space="preserve"> </w:t>
      </w:r>
      <w:r>
        <w:rPr>
          <w:rFonts w:hint="eastAsia" w:eastAsia="仿宋_GB2312"/>
          <w:b w:val="0"/>
          <w:bCs w:val="0"/>
          <w:color w:val="auto"/>
          <w:sz w:val="32"/>
          <w:szCs w:val="32"/>
        </w:rPr>
        <w:t>本条例适用于本校及直属附属单位</w:t>
      </w:r>
      <w:r>
        <w:rPr>
          <w:rFonts w:hint="eastAsia" w:eastAsia="仿宋_GB2312"/>
          <w:b w:val="0"/>
          <w:bCs w:val="0"/>
          <w:color w:val="auto"/>
          <w:sz w:val="32"/>
          <w:szCs w:val="32"/>
          <w:lang w:eastAsia="zh-CN"/>
        </w:rPr>
        <w:t>的研究生指导教师</w:t>
      </w:r>
      <w:r>
        <w:rPr>
          <w:rFonts w:hint="eastAsia" w:eastAsia="仿宋_GB2312"/>
          <w:b w:val="0"/>
          <w:bCs w:val="0"/>
          <w:color w:val="auto"/>
          <w:sz w:val="32"/>
          <w:szCs w:val="32"/>
        </w:rPr>
        <w:t>。</w:t>
      </w:r>
      <w:r>
        <w:rPr>
          <w:rFonts w:hint="eastAsia" w:eastAsia="仿宋_GB2312"/>
          <w:b w:val="0"/>
          <w:bCs w:val="0"/>
          <w:color w:val="auto"/>
          <w:sz w:val="32"/>
          <w:szCs w:val="32"/>
          <w:lang w:eastAsia="zh-CN"/>
        </w:rPr>
        <w:t>非直属附属单位、教学实践基地、研究生联合培养基地、科研协作单位及其他单位的我校校外导师，其职责、考核及管理参照本办法执行。</w:t>
      </w:r>
    </w:p>
    <w:p>
      <w:pPr>
        <w:snapToGrid w:val="0"/>
        <w:spacing w:line="570" w:lineRule="exact"/>
        <w:ind w:firstLine="640" w:firstLineChars="200"/>
        <w:rPr>
          <w:rFonts w:hint="eastAsia" w:eastAsia="仿宋_GB2312"/>
          <w:b w:val="0"/>
          <w:bCs w:val="0"/>
          <w:color w:val="auto"/>
          <w:sz w:val="32"/>
          <w:szCs w:val="32"/>
        </w:rPr>
      </w:pPr>
      <w:r>
        <w:rPr>
          <w:rFonts w:hint="eastAsia" w:eastAsia="仿宋_GB2312"/>
          <w:b w:val="0"/>
          <w:bCs w:val="0"/>
          <w:color w:val="auto"/>
          <w:sz w:val="32"/>
          <w:szCs w:val="32"/>
          <w:lang w:eastAsia="zh-CN"/>
        </w:rPr>
        <w:t>第三十六条</w:t>
      </w:r>
      <w:r>
        <w:rPr>
          <w:rFonts w:hint="eastAsia" w:eastAsia="仿宋_GB2312"/>
          <w:b w:val="0"/>
          <w:bCs w:val="0"/>
          <w:color w:val="auto"/>
          <w:sz w:val="32"/>
          <w:szCs w:val="32"/>
          <w:lang w:val="en-US" w:eastAsia="zh-CN"/>
        </w:rPr>
        <w:t xml:space="preserve"> </w:t>
      </w:r>
      <w:r>
        <w:rPr>
          <w:rFonts w:hint="eastAsia" w:eastAsia="仿宋_GB2312"/>
          <w:b w:val="0"/>
          <w:bCs w:val="0"/>
          <w:color w:val="auto"/>
          <w:sz w:val="32"/>
          <w:szCs w:val="32"/>
        </w:rPr>
        <w:t>本条例自</w:t>
      </w:r>
      <w:r>
        <w:rPr>
          <w:rFonts w:hint="eastAsia" w:eastAsia="仿宋_GB2312"/>
          <w:b w:val="0"/>
          <w:bCs w:val="0"/>
          <w:color w:val="auto"/>
          <w:sz w:val="32"/>
          <w:szCs w:val="32"/>
          <w:lang w:eastAsia="zh-CN"/>
        </w:rPr>
        <w:t>下发</w:t>
      </w:r>
      <w:r>
        <w:rPr>
          <w:rFonts w:hint="eastAsia" w:eastAsia="仿宋_GB2312"/>
          <w:b w:val="0"/>
          <w:bCs w:val="0"/>
          <w:color w:val="auto"/>
          <w:sz w:val="32"/>
          <w:szCs w:val="32"/>
        </w:rPr>
        <w:t>之日起执行，原</w:t>
      </w:r>
      <w:r>
        <w:rPr>
          <w:rFonts w:hint="eastAsia" w:eastAsia="仿宋_GB2312"/>
          <w:b w:val="0"/>
          <w:bCs w:val="0"/>
          <w:color w:val="auto"/>
          <w:sz w:val="32"/>
          <w:szCs w:val="32"/>
          <w:lang w:eastAsia="zh-CN"/>
        </w:rPr>
        <w:t>《</w:t>
      </w:r>
      <w:r>
        <w:rPr>
          <w:rFonts w:hint="eastAsia" w:eastAsia="仿宋_GB2312"/>
          <w:b w:val="0"/>
          <w:bCs w:val="0"/>
          <w:color w:val="auto"/>
          <w:sz w:val="32"/>
          <w:szCs w:val="32"/>
        </w:rPr>
        <w:t>广东药学院研究生指导教师管理条例</w:t>
      </w:r>
      <w:r>
        <w:rPr>
          <w:rFonts w:hint="eastAsia" w:eastAsia="仿宋_GB2312"/>
          <w:b w:val="0"/>
          <w:bCs w:val="0"/>
          <w:color w:val="auto"/>
          <w:sz w:val="32"/>
          <w:szCs w:val="32"/>
          <w:lang w:eastAsia="zh-CN"/>
        </w:rPr>
        <w:t>》（广药〔</w:t>
      </w:r>
      <w:r>
        <w:rPr>
          <w:rFonts w:hint="eastAsia" w:eastAsia="仿宋_GB2312"/>
          <w:b w:val="0"/>
          <w:bCs w:val="0"/>
          <w:color w:val="auto"/>
          <w:sz w:val="32"/>
          <w:szCs w:val="32"/>
          <w:lang w:val="en-US" w:eastAsia="zh-CN"/>
        </w:rPr>
        <w:t>2015〕30号</w:t>
      </w:r>
      <w:r>
        <w:rPr>
          <w:rFonts w:hint="eastAsia" w:eastAsia="仿宋_GB2312"/>
          <w:b w:val="0"/>
          <w:bCs w:val="0"/>
          <w:color w:val="auto"/>
          <w:sz w:val="32"/>
          <w:szCs w:val="32"/>
          <w:lang w:eastAsia="zh-CN"/>
        </w:rPr>
        <w:t>）</w:t>
      </w:r>
      <w:r>
        <w:rPr>
          <w:rFonts w:hint="eastAsia" w:eastAsia="仿宋_GB2312"/>
          <w:b w:val="0"/>
          <w:bCs w:val="0"/>
          <w:color w:val="auto"/>
          <w:sz w:val="32"/>
          <w:szCs w:val="32"/>
        </w:rPr>
        <w:t>同时废</w:t>
      </w:r>
      <w:r>
        <w:rPr>
          <w:rFonts w:hint="eastAsia" w:eastAsia="仿宋_GB2312"/>
          <w:b w:val="0"/>
          <w:bCs w:val="0"/>
          <w:color w:val="auto"/>
          <w:sz w:val="32"/>
          <w:szCs w:val="32"/>
          <w:lang w:eastAsia="zh-CN"/>
        </w:rPr>
        <w:t>止。</w:t>
      </w:r>
    </w:p>
    <w:p>
      <w:pPr>
        <w:snapToGrid w:val="0"/>
        <w:spacing w:line="570" w:lineRule="exact"/>
        <w:ind w:firstLine="640" w:firstLineChars="200"/>
        <w:rPr>
          <w:rFonts w:hint="eastAsia" w:eastAsia="仿宋_GB2312"/>
          <w:b w:val="0"/>
          <w:bCs w:val="0"/>
          <w:color w:val="auto"/>
          <w:sz w:val="32"/>
          <w:szCs w:val="32"/>
          <w:lang w:eastAsia="zh-CN"/>
        </w:rPr>
      </w:pPr>
      <w:r>
        <w:rPr>
          <w:rFonts w:hint="eastAsia" w:eastAsia="仿宋_GB2312"/>
          <w:b w:val="0"/>
          <w:bCs w:val="0"/>
          <w:color w:val="auto"/>
          <w:sz w:val="32"/>
          <w:szCs w:val="32"/>
          <w:lang w:eastAsia="zh-CN"/>
        </w:rPr>
        <w:t>第三十七条</w:t>
      </w:r>
      <w:r>
        <w:rPr>
          <w:rFonts w:hint="eastAsia" w:eastAsia="仿宋_GB2312"/>
          <w:b w:val="0"/>
          <w:bCs w:val="0"/>
          <w:color w:val="auto"/>
          <w:sz w:val="32"/>
          <w:szCs w:val="32"/>
          <w:lang w:val="en-US" w:eastAsia="zh-CN"/>
        </w:rPr>
        <w:t xml:space="preserve"> </w:t>
      </w:r>
      <w:r>
        <w:rPr>
          <w:rFonts w:hint="eastAsia" w:eastAsia="仿宋_GB2312"/>
          <w:b w:val="0"/>
          <w:bCs w:val="0"/>
          <w:color w:val="auto"/>
          <w:sz w:val="32"/>
          <w:szCs w:val="32"/>
        </w:rPr>
        <w:t>本</w:t>
      </w:r>
      <w:r>
        <w:rPr>
          <w:rFonts w:hint="eastAsia" w:eastAsia="仿宋_GB2312"/>
          <w:b w:val="0"/>
          <w:bCs w:val="0"/>
          <w:color w:val="auto"/>
          <w:sz w:val="32"/>
          <w:szCs w:val="32"/>
          <w:lang w:eastAsia="zh-CN"/>
        </w:rPr>
        <w:t>办法</w:t>
      </w:r>
      <w:r>
        <w:rPr>
          <w:rFonts w:hint="eastAsia" w:eastAsia="仿宋_GB2312"/>
          <w:b w:val="0"/>
          <w:bCs w:val="0"/>
          <w:color w:val="auto"/>
          <w:sz w:val="32"/>
          <w:szCs w:val="32"/>
        </w:rPr>
        <w:t>由广东药</w:t>
      </w:r>
      <w:r>
        <w:rPr>
          <w:rFonts w:hint="eastAsia" w:eastAsia="仿宋_GB2312"/>
          <w:b w:val="0"/>
          <w:bCs w:val="0"/>
          <w:strike w:val="0"/>
          <w:dstrike w:val="0"/>
          <w:color w:val="auto"/>
          <w:sz w:val="32"/>
          <w:szCs w:val="32"/>
          <w:lang w:eastAsia="zh-CN"/>
        </w:rPr>
        <w:t>科大学学位评定委员会</w:t>
      </w:r>
      <w:r>
        <w:rPr>
          <w:rFonts w:hint="eastAsia" w:eastAsia="仿宋_GB2312"/>
          <w:b w:val="0"/>
          <w:bCs w:val="0"/>
          <w:color w:val="auto"/>
          <w:sz w:val="32"/>
          <w:szCs w:val="32"/>
        </w:rPr>
        <w:t>负责解释</w:t>
      </w:r>
      <w:r>
        <w:rPr>
          <w:rFonts w:hint="eastAsia" w:eastAsia="仿宋_GB2312"/>
          <w:b w:val="0"/>
          <w:bCs w:val="0"/>
          <w:color w:val="auto"/>
          <w:sz w:val="32"/>
          <w:szCs w:val="32"/>
          <w:lang w:eastAsia="zh-CN"/>
        </w:rPr>
        <w:t>。</w:t>
      </w:r>
    </w:p>
    <w:sectPr>
      <w:headerReference r:id="rId3" w:type="default"/>
      <w:footerReference r:id="rId4" w:type="default"/>
      <w:pgSz w:w="11906" w:h="16838"/>
      <w:pgMar w:top="794" w:right="1588" w:bottom="737"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闁诲海鎳撻鍕礊?">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7B13B"/>
    <w:multiLevelType w:val="singleLevel"/>
    <w:tmpl w:val="57D7B13B"/>
    <w:lvl w:ilvl="0" w:tentative="0">
      <w:start w:val="1"/>
      <w:numFmt w:val="decimal"/>
      <w:suff w:val="nothing"/>
      <w:lvlText w:val="%1．"/>
      <w:lvlJc w:val="left"/>
      <w:pPr>
        <w:ind w:left="0" w:firstLine="400"/>
      </w:pPr>
      <w:rPr>
        <w:rFonts w:hint="default"/>
      </w:rPr>
    </w:lvl>
  </w:abstractNum>
  <w:abstractNum w:abstractNumId="1">
    <w:nsid w:val="59C899E9"/>
    <w:multiLevelType w:val="singleLevel"/>
    <w:tmpl w:val="59C899E9"/>
    <w:lvl w:ilvl="0" w:tentative="0">
      <w:start w:val="2"/>
      <w:numFmt w:val="decimal"/>
      <w:suff w:val="space"/>
      <w:lvlText w:val="%1."/>
      <w:lvlJc w:val="left"/>
    </w:lvl>
  </w:abstractNum>
  <w:abstractNum w:abstractNumId="2">
    <w:nsid w:val="59CDF8ED"/>
    <w:multiLevelType w:val="singleLevel"/>
    <w:tmpl w:val="59CDF8ED"/>
    <w:lvl w:ilvl="0" w:tentative="0">
      <w:start w:val="3"/>
      <w:numFmt w:val="decimal"/>
      <w:suff w:val="nothing"/>
      <w:lvlText w:val="（%1）"/>
      <w:lvlJc w:val="left"/>
    </w:lvl>
  </w:abstractNum>
  <w:abstractNum w:abstractNumId="3">
    <w:nsid w:val="5A152D08"/>
    <w:multiLevelType w:val="singleLevel"/>
    <w:tmpl w:val="5A152D08"/>
    <w:lvl w:ilvl="0" w:tentative="0">
      <w:start w:val="1"/>
      <w:numFmt w:val="decimalEnclosedCircleChinese"/>
      <w:suff w:val="nothing"/>
      <w:lvlText w:val="%1　"/>
      <w:lvlJc w:val="left"/>
      <w:pPr>
        <w:ind w:left="0" w:firstLine="400"/>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413"/>
    <w:rsid w:val="010C61EB"/>
    <w:rsid w:val="02EC1C9B"/>
    <w:rsid w:val="04031E3C"/>
    <w:rsid w:val="04AC3A52"/>
    <w:rsid w:val="07CB7DDA"/>
    <w:rsid w:val="08396A0E"/>
    <w:rsid w:val="08F63493"/>
    <w:rsid w:val="098976A5"/>
    <w:rsid w:val="098E6478"/>
    <w:rsid w:val="0BB62609"/>
    <w:rsid w:val="12A21F28"/>
    <w:rsid w:val="142D3C7D"/>
    <w:rsid w:val="18F61524"/>
    <w:rsid w:val="19D76009"/>
    <w:rsid w:val="1B6B5D3A"/>
    <w:rsid w:val="1E3539B3"/>
    <w:rsid w:val="1E7871B5"/>
    <w:rsid w:val="1F221251"/>
    <w:rsid w:val="1FDE51BE"/>
    <w:rsid w:val="2068526B"/>
    <w:rsid w:val="23EB6E80"/>
    <w:rsid w:val="24A26DE4"/>
    <w:rsid w:val="254F08C6"/>
    <w:rsid w:val="266535FD"/>
    <w:rsid w:val="27135C42"/>
    <w:rsid w:val="29CC250B"/>
    <w:rsid w:val="2EA96F98"/>
    <w:rsid w:val="32801B67"/>
    <w:rsid w:val="3362056B"/>
    <w:rsid w:val="35A17999"/>
    <w:rsid w:val="383C0091"/>
    <w:rsid w:val="3BD16143"/>
    <w:rsid w:val="405F43F1"/>
    <w:rsid w:val="408F50FB"/>
    <w:rsid w:val="422528B2"/>
    <w:rsid w:val="42434077"/>
    <w:rsid w:val="42C95B5A"/>
    <w:rsid w:val="42E42BBF"/>
    <w:rsid w:val="432F4E1A"/>
    <w:rsid w:val="46265A3A"/>
    <w:rsid w:val="46E56D09"/>
    <w:rsid w:val="47AA2037"/>
    <w:rsid w:val="48027F4C"/>
    <w:rsid w:val="48B37C5E"/>
    <w:rsid w:val="4A4816EE"/>
    <w:rsid w:val="4B45120F"/>
    <w:rsid w:val="4B657326"/>
    <w:rsid w:val="4D1C043B"/>
    <w:rsid w:val="4D36468D"/>
    <w:rsid w:val="4F302380"/>
    <w:rsid w:val="500B45CD"/>
    <w:rsid w:val="509E0DF8"/>
    <w:rsid w:val="52031956"/>
    <w:rsid w:val="54DF2C6A"/>
    <w:rsid w:val="569B6461"/>
    <w:rsid w:val="57C61678"/>
    <w:rsid w:val="5B181EC0"/>
    <w:rsid w:val="5DF21A37"/>
    <w:rsid w:val="62B46DD2"/>
    <w:rsid w:val="650A6555"/>
    <w:rsid w:val="68714CD8"/>
    <w:rsid w:val="69487B27"/>
    <w:rsid w:val="6C5D1134"/>
    <w:rsid w:val="6D0C7FF8"/>
    <w:rsid w:val="6D9125C4"/>
    <w:rsid w:val="71A36BE5"/>
    <w:rsid w:val="71B001C4"/>
    <w:rsid w:val="725921C0"/>
    <w:rsid w:val="734B2BDC"/>
    <w:rsid w:val="73C56C35"/>
    <w:rsid w:val="75F30AB6"/>
    <w:rsid w:val="79363B40"/>
    <w:rsid w:val="7A197D19"/>
    <w:rsid w:val="7A3D67C8"/>
    <w:rsid w:val="7ACF0A8A"/>
    <w:rsid w:val="7AD42881"/>
    <w:rsid w:val="7B081C18"/>
    <w:rsid w:val="7D5E5663"/>
    <w:rsid w:val="7DCC56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9">
    <w:name w:val="Default Paragraph Font"/>
    <w:qFormat/>
    <w:uiPriority w:val="0"/>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pPr>
      <w:spacing w:line="480" w:lineRule="exact"/>
    </w:pPr>
    <w:rPr>
      <w:rFonts w:cs="Times New Roman"/>
      <w:kern w:val="0"/>
      <w:sz w:val="24"/>
      <w:lang w:bidi="ar-SA"/>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line="12" w:lineRule="atLeast"/>
      <w:ind w:left="0" w:right="0"/>
      <w:jc w:val="left"/>
    </w:pPr>
    <w:rPr>
      <w:rFonts w:hint="eastAsia" w:ascii="宋体" w:hAnsi="宋体" w:eastAsia="宋体" w:cs="宋体"/>
      <w:color w:val="3C3C3C"/>
      <w:kern w:val="0"/>
      <w:sz w:val="14"/>
      <w:szCs w:val="1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80008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0000FF"/>
      <w:u w:val="none"/>
    </w:rPr>
  </w:style>
  <w:style w:type="character" w:styleId="16">
    <w:name w:val="HTML Code"/>
    <w:basedOn w:val="9"/>
    <w:qFormat/>
    <w:uiPriority w:val="0"/>
    <w:rPr>
      <w:rFonts w:ascii="Courier New" w:hAnsi="Courier New"/>
      <w:sz w:val="20"/>
    </w:rPr>
  </w:style>
  <w:style w:type="character" w:styleId="17">
    <w:name w:val="HTML Cite"/>
    <w:basedOn w:val="9"/>
    <w:qFormat/>
    <w:uiPriority w:val="0"/>
  </w:style>
  <w:style w:type="character" w:customStyle="1" w:styleId="19">
    <w:name w:val="text"/>
    <w:basedOn w:val="9"/>
    <w:qFormat/>
    <w:uiPriority w:val="0"/>
  </w:style>
  <w:style w:type="character" w:customStyle="1" w:styleId="20">
    <w:name w:val="hover10"/>
    <w:basedOn w:val="9"/>
    <w:qFormat/>
    <w:uiPriority w:val="0"/>
  </w:style>
  <w:style w:type="character" w:customStyle="1" w:styleId="21">
    <w:name w:val="span-banbtnchoice"/>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72</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dragon</dc:creator>
  <cp:lastModifiedBy>爱狠美1397655586</cp:lastModifiedBy>
  <cp:lastPrinted>2018-11-26T04:32:43Z</cp:lastPrinted>
  <dcterms:modified xsi:type="dcterms:W3CDTF">2018-11-26T06:16:30Z</dcterms:modified>
  <dc:title>广东药学院研究生指导教师管理条例（修订）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